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widowControl w:val="0"/>
        <w:jc w:val="right"/>
        <w:rPr>
          <w:rFonts w:ascii="Book Antiqua" w:hAnsi="Book Antiqua"/>
          <w:color w:val="000000" w:themeColor="text1"/>
          <w:sz w:val="32"/>
          <w:szCs w:val="32"/>
        </w:rPr>
      </w:pPr>
      <w:r>
        <w:rPr>
          <w:rFonts w:ascii="Book Antiqua" w:hAnsi="Book Antiqua"/>
          <w:sz w:val="32"/>
          <w:szCs w:val="32"/>
        </w:rPr>
        <w:tab/>
      </w:r>
      <w:r>
        <w:rPr>
          <w:rFonts w:ascii="Book Antiqua" w:hAnsi="Book Antiqua"/>
          <w:sz w:val="32"/>
          <w:szCs w:val="32"/>
        </w:rPr>
        <w:t xml:space="preserve">PREGÃO </w:t>
      </w:r>
      <w:r>
        <w:rPr>
          <w:rFonts w:ascii="Book Antiqua" w:hAnsi="Book Antiqua"/>
          <w:color w:val="000000" w:themeColor="text1"/>
          <w:sz w:val="32"/>
          <w:szCs w:val="32"/>
        </w:rPr>
        <w:t>ELETRÔNICO</w:t>
      </w:r>
    </w:p>
    <w:p>
      <w:pPr>
        <w:pStyle w:val="3"/>
        <w:keepNext w:val="0"/>
        <w:widowControl w:val="0"/>
        <w:jc w:val="right"/>
        <w:rPr>
          <w:rFonts w:ascii="Book Antiqua" w:hAnsi="Book Antiqua"/>
          <w:b w:val="0"/>
          <w:color w:val="000000" w:themeColor="text1"/>
          <w:sz w:val="28"/>
          <w:szCs w:val="32"/>
        </w:rPr>
      </w:pPr>
      <w:r>
        <w:rPr>
          <w:rFonts w:ascii="Book Antiqua" w:hAnsi="Book Antiqua"/>
          <w:b w:val="0"/>
          <w:color w:val="000000" w:themeColor="text1"/>
          <w:sz w:val="28"/>
          <w:szCs w:val="32"/>
        </w:rPr>
        <w:t xml:space="preserve">N°. </w:t>
      </w:r>
      <w:r>
        <w:rPr>
          <w:rFonts w:hint="default" w:ascii="Book Antiqua" w:hAnsi="Book Antiqua"/>
          <w:b w:val="0"/>
          <w:color w:val="000000" w:themeColor="text1"/>
          <w:sz w:val="28"/>
          <w:szCs w:val="32"/>
          <w:lang w:val="pt-BR"/>
        </w:rPr>
        <w:t>168</w:t>
      </w:r>
      <w:r>
        <w:rPr>
          <w:rFonts w:ascii="Book Antiqua" w:hAnsi="Book Antiqua"/>
          <w:b w:val="0"/>
          <w:color w:val="000000" w:themeColor="text1"/>
          <w:sz w:val="28"/>
          <w:szCs w:val="32"/>
        </w:rPr>
        <w:t>/2021/PREGÃO/SML/PMA</w:t>
      </w:r>
    </w:p>
    <w:p>
      <w:pPr>
        <w:pStyle w:val="2"/>
        <w:keepNext w:val="0"/>
        <w:widowControl w:val="0"/>
        <w:spacing w:after="120"/>
        <w:jc w:val="both"/>
        <w:rPr>
          <w:rFonts w:ascii="Book Antiqua" w:hAnsi="Book Antiqua"/>
          <w:color w:val="000000" w:themeColor="text1"/>
          <w:sz w:val="32"/>
          <w:szCs w:val="32"/>
        </w:rPr>
      </w:pPr>
    </w:p>
    <w:p>
      <w:pPr>
        <w:widowControl w:val="0"/>
        <w:spacing w:after="120"/>
        <w:rPr>
          <w:rFonts w:ascii="Book Antiqua" w:hAnsi="Book Antiqua"/>
        </w:rPr>
      </w:pPr>
    </w:p>
    <w:p>
      <w:pPr>
        <w:pStyle w:val="2"/>
        <w:keepNext w:val="0"/>
        <w:widowControl w:val="0"/>
        <w:spacing w:after="120"/>
        <w:jc w:val="center"/>
        <w:rPr>
          <w:rFonts w:ascii="Book Antiqua" w:hAnsi="Book Antiqua"/>
          <w:sz w:val="72"/>
          <w:szCs w:val="120"/>
        </w:rPr>
      </w:pPr>
    </w:p>
    <w:p>
      <w:pPr>
        <w:pStyle w:val="2"/>
        <w:keepNext w:val="0"/>
        <w:widowControl w:val="0"/>
        <w:tabs>
          <w:tab w:val="left" w:pos="4395"/>
        </w:tabs>
        <w:spacing w:after="120"/>
        <w:rPr>
          <w:rFonts w:ascii="Book Antiqua" w:hAnsi="Book Antiqua"/>
          <w:sz w:val="72"/>
          <w:szCs w:val="120"/>
        </w:rPr>
      </w:pPr>
      <w:r>
        <w:rPr>
          <w:rFonts w:ascii="Book Antiqua" w:hAnsi="Book Antiqua"/>
          <w:sz w:val="72"/>
          <w:szCs w:val="120"/>
        </w:rPr>
        <w:tab/>
      </w:r>
    </w:p>
    <w:p>
      <w:pPr>
        <w:pStyle w:val="2"/>
        <w:keepNext w:val="0"/>
        <w:widowControl w:val="0"/>
        <w:spacing w:after="120"/>
        <w:jc w:val="center"/>
        <w:rPr>
          <w:rFonts w:ascii="Book Antiqua" w:hAnsi="Book Antiqua"/>
          <w:bCs/>
          <w:i w:val="0"/>
          <w:iCs/>
          <w:color w:val="0000FF"/>
          <w:sz w:val="72"/>
          <w:szCs w:val="120"/>
        </w:rPr>
      </w:pPr>
      <w:r>
        <w:rPr>
          <w:rFonts w:ascii="Book Antiqua" w:hAnsi="Book Antiqua"/>
          <w:i w:val="0"/>
          <w:iCs/>
          <w:color w:val="0000FF"/>
          <w:sz w:val="72"/>
          <w:szCs w:val="120"/>
        </w:rPr>
        <w:t>PREFEITURA MUNICIPAL</w:t>
      </w:r>
    </w:p>
    <w:p>
      <w:pPr>
        <w:pStyle w:val="2"/>
        <w:keepNext w:val="0"/>
        <w:widowControl w:val="0"/>
        <w:spacing w:after="120"/>
        <w:jc w:val="center"/>
        <w:rPr>
          <w:rFonts w:ascii="Book Antiqua" w:hAnsi="Book Antiqua"/>
          <w:bCs/>
          <w:i w:val="0"/>
          <w:iCs/>
          <w:color w:val="0000FF"/>
          <w:sz w:val="72"/>
          <w:szCs w:val="120"/>
        </w:rPr>
      </w:pPr>
      <w:r>
        <w:rPr>
          <w:rFonts w:ascii="Book Antiqua" w:hAnsi="Book Antiqua"/>
          <w:i w:val="0"/>
          <w:iCs/>
          <w:color w:val="0000FF"/>
          <w:sz w:val="72"/>
          <w:szCs w:val="120"/>
        </w:rPr>
        <w:t>DE</w:t>
      </w:r>
    </w:p>
    <w:p>
      <w:pPr>
        <w:pStyle w:val="2"/>
        <w:keepNext w:val="0"/>
        <w:widowControl w:val="0"/>
        <w:spacing w:after="120"/>
        <w:jc w:val="center"/>
        <w:rPr>
          <w:rFonts w:ascii="Book Antiqua" w:hAnsi="Book Antiqua"/>
          <w:i w:val="0"/>
          <w:iCs/>
          <w:color w:val="0000FF"/>
          <w:sz w:val="72"/>
          <w:szCs w:val="120"/>
        </w:rPr>
      </w:pPr>
      <w:r>
        <w:rPr>
          <w:rFonts w:ascii="Book Antiqua" w:hAnsi="Book Antiqua"/>
          <w:i w:val="0"/>
          <w:iCs/>
          <w:color w:val="0000FF"/>
          <w:sz w:val="72"/>
          <w:szCs w:val="120"/>
        </w:rPr>
        <w:t xml:space="preserve"> ARIQUEMES</w:t>
      </w:r>
    </w:p>
    <w:p>
      <w:pPr>
        <w:rPr>
          <w:rFonts w:ascii="Book Antiqua" w:hAnsi="Book Antiqua"/>
        </w:rPr>
      </w:pPr>
    </w:p>
    <w:p>
      <w:pPr>
        <w:pStyle w:val="2"/>
        <w:keepNext w:val="0"/>
        <w:widowControl w:val="0"/>
        <w:spacing w:after="120"/>
        <w:jc w:val="center"/>
        <w:rPr>
          <w:rFonts w:ascii="Book Antiqua" w:hAnsi="Book Antiqua"/>
          <w:b w:val="0"/>
          <w:sz w:val="120"/>
          <w:szCs w:val="120"/>
        </w:rPr>
      </w:pPr>
      <w:r>
        <w:rPr>
          <w:rFonts w:ascii="Book Antiqua" w:hAnsi="Book Antiqua"/>
          <w:sz w:val="48"/>
        </w:rPr>
        <w:t>UASG: 450522</w:t>
      </w:r>
    </w:p>
    <w:p>
      <w:pPr>
        <w:widowControl w:val="0"/>
        <w:spacing w:after="120"/>
        <w:jc w:val="both"/>
        <w:rPr>
          <w:rFonts w:ascii="Book Antiqua" w:hAnsi="Book Antiqua"/>
          <w:color w:val="000000"/>
        </w:rPr>
      </w:pPr>
    </w:p>
    <w:p>
      <w:pPr>
        <w:widowControl w:val="0"/>
        <w:spacing w:after="120"/>
        <w:jc w:val="both"/>
        <w:rPr>
          <w:rFonts w:ascii="Book Antiqua" w:hAnsi="Book Antiqua"/>
          <w:color w:val="000000"/>
        </w:rPr>
      </w:pPr>
    </w:p>
    <w:p>
      <w:pPr>
        <w:widowControl w:val="0"/>
        <w:spacing w:after="120"/>
        <w:jc w:val="both"/>
        <w:rPr>
          <w:rFonts w:ascii="Book Antiqua" w:hAnsi="Book Antiqua"/>
          <w:color w:val="000000"/>
        </w:rPr>
      </w:pPr>
    </w:p>
    <w:tbl>
      <w:tblPr>
        <w:tblStyle w:val="12"/>
        <w:tblpPr w:leftFromText="141" w:rightFromText="141" w:vertAnchor="page" w:horzAnchor="margin" w:tblpXSpec="right" w:tblpY="10861"/>
        <w:tblW w:w="0" w:type="auto"/>
        <w:tblInd w:w="0" w:type="dxa"/>
        <w:tblBorders>
          <w:top w:val="single" w:color="auto" w:sz="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788"/>
      </w:tblGrid>
      <w:tr>
        <w:tblPrEx>
          <w:tblBorders>
            <w:top w:val="single" w:color="auto" w:sz="6"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43" w:hRule="atLeast"/>
        </w:trPr>
        <w:tc>
          <w:tcPr>
            <w:tcW w:w="4788" w:type="dxa"/>
            <w:tcBorders>
              <w:top w:val="single" w:color="auto" w:sz="18" w:space="0"/>
              <w:left w:val="single" w:color="auto" w:sz="18" w:space="0"/>
              <w:bottom w:val="single" w:color="auto" w:sz="18" w:space="0"/>
              <w:right w:val="single" w:color="auto" w:sz="18" w:space="0"/>
            </w:tcBorders>
          </w:tcPr>
          <w:p>
            <w:pPr>
              <w:widowControl w:val="0"/>
              <w:spacing w:after="120"/>
              <w:jc w:val="center"/>
              <w:rPr>
                <w:rFonts w:ascii="Book Antiqua" w:hAnsi="Book Antiqua"/>
                <w:b/>
                <w:bCs/>
                <w:u w:val="single"/>
              </w:rPr>
            </w:pPr>
            <w:r>
              <w:rPr>
                <w:rFonts w:ascii="Book Antiqua" w:hAnsi="Book Antiqua"/>
                <w:b/>
                <w:u w:val="single"/>
              </w:rPr>
              <w:t>AVISO</w:t>
            </w:r>
          </w:p>
          <w:p>
            <w:pPr>
              <w:pStyle w:val="32"/>
              <w:widowControl w:val="0"/>
              <w:jc w:val="both"/>
              <w:rPr>
                <w:rFonts w:ascii="Book Antiqua" w:hAnsi="Book Antiqua"/>
                <w:b w:val="0"/>
                <w:bCs/>
                <w:sz w:val="22"/>
              </w:rPr>
            </w:pPr>
            <w:r>
              <w:rPr>
                <w:rFonts w:ascii="Book Antiqua" w:hAnsi="Book Antiqua"/>
                <w:b w:val="0"/>
                <w:sz w:val="22"/>
              </w:rPr>
              <w:t>Recomendamos aos licitantes a leitura atenta às condições/exigências expressas neste edital e seus anexos, notadamente quanto ao credenciamento, objetivando uma perfeita participação no certame licitatório.</w:t>
            </w:r>
          </w:p>
          <w:p>
            <w:pPr>
              <w:widowControl w:val="0"/>
              <w:jc w:val="center"/>
              <w:rPr>
                <w:rFonts w:ascii="Book Antiqua" w:hAnsi="Book Antiqua"/>
                <w:b/>
              </w:rPr>
            </w:pPr>
            <w:r>
              <w:rPr>
                <w:rFonts w:ascii="Book Antiqua" w:hAnsi="Book Antiqua"/>
                <w:b/>
              </w:rPr>
              <w:t>Dúvidas: (69) 3516-2020</w:t>
            </w:r>
          </w:p>
          <w:p>
            <w:pPr>
              <w:widowControl w:val="0"/>
              <w:spacing w:after="120"/>
              <w:jc w:val="center"/>
              <w:rPr>
                <w:rFonts w:ascii="Book Antiqua" w:hAnsi="Book Antiqua"/>
                <w:b/>
                <w:bCs/>
                <w:color w:val="0000FF"/>
              </w:rPr>
            </w:pPr>
            <w:r>
              <w:rPr>
                <w:rFonts w:ascii="Book Antiqua" w:hAnsi="Book Antiqua"/>
                <w:b/>
                <w:bCs/>
                <w:color w:val="0000FF"/>
              </w:rPr>
              <w:t>Email: pregaopma@hotmail.com</w:t>
            </w:r>
          </w:p>
        </w:tc>
      </w:tr>
    </w:tbl>
    <w:p>
      <w:pPr>
        <w:widowControl w:val="0"/>
        <w:spacing w:after="120"/>
        <w:jc w:val="both"/>
        <w:rPr>
          <w:rFonts w:ascii="Book Antiqua" w:hAnsi="Book Antiqua"/>
          <w:color w:val="000000"/>
        </w:rPr>
      </w:pPr>
    </w:p>
    <w:p>
      <w:pPr>
        <w:widowControl w:val="0"/>
        <w:spacing w:after="120"/>
        <w:jc w:val="right"/>
        <w:rPr>
          <w:rFonts w:ascii="Book Antiqua" w:hAnsi="Book Antiqua"/>
          <w:color w:val="000000"/>
        </w:rPr>
      </w:pPr>
      <w:r>
        <w:rPr>
          <w:rFonts w:ascii="Book Antiqua" w:hAnsi="Book Antiqua"/>
          <w:color w:val="000000"/>
        </w:rPr>
        <w:br w:type="page"/>
      </w:r>
    </w:p>
    <w:p>
      <w:pPr>
        <w:pStyle w:val="9"/>
        <w:keepNext w:val="0"/>
        <w:widowControl w:val="0"/>
        <w:tabs>
          <w:tab w:val="left" w:pos="5835"/>
        </w:tabs>
        <w:ind w:firstLine="0"/>
        <w:jc w:val="center"/>
        <w:rPr>
          <w:rFonts w:ascii="Book Antiqua" w:hAnsi="Book Antiqua"/>
          <w:color w:val="000000" w:themeColor="text1"/>
          <w:sz w:val="22"/>
        </w:rPr>
      </w:pPr>
      <w:bookmarkStart w:id="1" w:name="_GoBack"/>
      <w:bookmarkEnd w:id="1"/>
      <w:r>
        <w:rPr>
          <w:rFonts w:ascii="Book Antiqua" w:hAnsi="Book Antiqua"/>
          <w:sz w:val="22"/>
          <w:highlight w:val="yellow"/>
        </w:rPr>
        <w:t xml:space="preserve">EDITAL DE </w:t>
      </w:r>
      <w:r>
        <w:rPr>
          <w:rFonts w:ascii="Book Antiqua" w:hAnsi="Book Antiqua"/>
          <w:color w:val="000000" w:themeColor="text1"/>
          <w:sz w:val="22"/>
          <w:highlight w:val="yellow"/>
        </w:rPr>
        <w:t>LICITAÇÃO</w:t>
      </w:r>
    </w:p>
    <w:p>
      <w:pPr>
        <w:pStyle w:val="9"/>
        <w:keepNext w:val="0"/>
        <w:widowControl w:val="0"/>
        <w:tabs>
          <w:tab w:val="left" w:pos="5835"/>
        </w:tabs>
        <w:spacing w:line="160" w:lineRule="atLeast"/>
        <w:ind w:firstLine="0"/>
        <w:jc w:val="center"/>
        <w:rPr>
          <w:rFonts w:ascii="Book Antiqua" w:hAnsi="Book Antiqua"/>
          <w:color w:val="000000" w:themeColor="text1"/>
          <w:sz w:val="22"/>
        </w:rPr>
      </w:pPr>
      <w:r>
        <w:rPr>
          <w:rFonts w:ascii="Book Antiqua" w:hAnsi="Book Antiqua"/>
          <w:color w:val="000000" w:themeColor="text1"/>
          <w:sz w:val="22"/>
        </w:rPr>
        <w:t xml:space="preserve">PREGÃO ELETRÔNICO N° </w:t>
      </w:r>
      <w:r>
        <w:rPr>
          <w:rFonts w:ascii="Book Antiqua" w:hAnsi="Book Antiqua"/>
          <w:color w:val="000000" w:themeColor="text1"/>
          <w:sz w:val="22"/>
        </w:rPr>
        <w:fldChar w:fldCharType="begin"/>
      </w:r>
      <w:r>
        <w:rPr>
          <w:rFonts w:ascii="Book Antiqua" w:hAnsi="Book Antiqua"/>
          <w:color w:val="000000" w:themeColor="text1"/>
          <w:sz w:val="22"/>
        </w:rPr>
        <w:instrText xml:space="preserve"> MERGEFIELD "Nº_PREGÃO" </w:instrText>
      </w:r>
      <w:r>
        <w:rPr>
          <w:rFonts w:ascii="Book Antiqua" w:hAnsi="Book Antiqua"/>
          <w:color w:val="000000" w:themeColor="text1"/>
          <w:sz w:val="22"/>
        </w:rPr>
        <w:fldChar w:fldCharType="separate"/>
      </w:r>
      <w:r>
        <w:rPr>
          <w:rFonts w:hint="default" w:ascii="Book Antiqua" w:hAnsi="Book Antiqua"/>
          <w:color w:val="000000" w:themeColor="text1"/>
          <w:sz w:val="22"/>
          <w:lang w:val="pt-BR"/>
        </w:rPr>
        <w:t>168</w:t>
      </w:r>
      <w:r>
        <w:rPr>
          <w:rFonts w:ascii="Book Antiqua" w:hAnsi="Book Antiqua"/>
          <w:color w:val="000000" w:themeColor="text1"/>
          <w:sz w:val="22"/>
        </w:rPr>
        <w:t>/202</w:t>
      </w:r>
      <w:r>
        <w:rPr>
          <w:rFonts w:hint="default" w:ascii="Book Antiqua" w:hAnsi="Book Antiqua"/>
          <w:color w:val="000000" w:themeColor="text1"/>
          <w:sz w:val="22"/>
          <w:lang w:val="pt-BR"/>
        </w:rPr>
        <w:t>1</w:t>
      </w:r>
      <w:r>
        <w:rPr>
          <w:rFonts w:ascii="Book Antiqua" w:hAnsi="Book Antiqua"/>
          <w:color w:val="000000" w:themeColor="text1"/>
          <w:sz w:val="22"/>
        </w:rPr>
        <w:t>/SML/</w:t>
      </w:r>
      <w:r>
        <w:rPr>
          <w:rFonts w:ascii="Book Antiqua" w:hAnsi="Book Antiqua"/>
          <w:color w:val="000000" w:themeColor="text1"/>
          <w:sz w:val="22"/>
        </w:rPr>
        <w:fldChar w:fldCharType="end"/>
      </w:r>
      <w:r>
        <w:rPr>
          <w:rFonts w:ascii="Book Antiqua" w:hAnsi="Book Antiqua"/>
          <w:color w:val="000000" w:themeColor="text1"/>
          <w:sz w:val="22"/>
        </w:rPr>
        <w:t>PMA</w:t>
      </w:r>
    </w:p>
    <w:p>
      <w:pPr>
        <w:pStyle w:val="9"/>
        <w:keepNext w:val="0"/>
        <w:widowControl w:val="0"/>
        <w:tabs>
          <w:tab w:val="left" w:pos="5835"/>
        </w:tabs>
        <w:spacing w:line="160" w:lineRule="atLeast"/>
        <w:ind w:firstLine="0"/>
        <w:jc w:val="center"/>
        <w:rPr>
          <w:rFonts w:hint="default" w:ascii="Book Antiqua" w:hAnsi="Book Antiqua"/>
          <w:color w:val="000000" w:themeColor="text1"/>
          <w:sz w:val="22"/>
          <w:lang w:val="pt-BR"/>
        </w:rPr>
      </w:pPr>
      <w:r>
        <w:rPr>
          <w:rFonts w:ascii="Book Antiqua" w:hAnsi="Book Antiqua"/>
          <w:color w:val="000000" w:themeColor="text1"/>
          <w:sz w:val="22"/>
        </w:rPr>
        <w:t xml:space="preserve">PROCESSO ADMINISTRATIVO N.º </w:t>
      </w:r>
      <w:r>
        <w:rPr>
          <w:rFonts w:hint="default" w:ascii="Book Antiqua" w:hAnsi="Book Antiqua"/>
          <w:color w:val="000000" w:themeColor="text1"/>
          <w:sz w:val="22"/>
          <w:lang w:val="pt-BR"/>
        </w:rPr>
        <w:t>2883</w:t>
      </w:r>
      <w:r>
        <w:rPr>
          <w:rFonts w:ascii="Book Antiqua" w:hAnsi="Book Antiqua"/>
          <w:color w:val="000000" w:themeColor="text1"/>
          <w:sz w:val="22"/>
        </w:rPr>
        <w:t>/2021/SEM</w:t>
      </w:r>
      <w:r>
        <w:rPr>
          <w:rFonts w:hint="default" w:ascii="Book Antiqua" w:hAnsi="Book Antiqua"/>
          <w:color w:val="000000" w:themeColor="text1"/>
          <w:sz w:val="22"/>
          <w:lang w:val="pt-BR"/>
        </w:rPr>
        <w:t>DES</w:t>
      </w:r>
    </w:p>
    <w:p>
      <w:pPr>
        <w:widowControl w:val="0"/>
        <w:spacing w:line="160" w:lineRule="atLeast"/>
        <w:jc w:val="center"/>
        <w:rPr>
          <w:rFonts w:ascii="Book Antiqua" w:hAnsi="Book Antiqua"/>
          <w:b/>
          <w:sz w:val="12"/>
        </w:rPr>
      </w:pPr>
    </w:p>
    <w:p>
      <w:pPr>
        <w:jc w:val="center"/>
        <w:rPr>
          <w:rFonts w:hint="default"/>
          <w:b/>
          <w:color w:val="FF0000"/>
          <w:u w:val="single"/>
          <w:lang w:val="pt-BR"/>
        </w:rPr>
      </w:pPr>
      <w:r>
        <w:rPr>
          <w:b/>
          <w:color w:val="FF0000"/>
          <w:u w:val="single"/>
        </w:rPr>
        <w:t xml:space="preserve">LICITAÇÃO </w:t>
      </w:r>
      <w:r>
        <w:rPr>
          <w:rFonts w:hint="default"/>
          <w:b/>
          <w:color w:val="FF0000"/>
          <w:u w:val="single"/>
          <w:lang w:val="pt-BR"/>
        </w:rPr>
        <w:t>ABERTA, COM AMPLA PARTICIPAÇÃO</w:t>
      </w:r>
    </w:p>
    <w:p>
      <w:pPr>
        <w:rPr>
          <w:sz w:val="14"/>
        </w:rPr>
      </w:pPr>
    </w:p>
    <w:p>
      <w:pPr>
        <w:pStyle w:val="83"/>
        <w:widowControl w:val="0"/>
        <w:numPr>
          <w:ilvl w:val="0"/>
          <w:numId w:val="5"/>
        </w:numPr>
        <w:pBdr>
          <w:top w:val="single" w:color="auto" w:sz="4" w:space="1"/>
          <w:left w:val="single" w:color="auto" w:sz="4" w:space="4"/>
          <w:bottom w:val="single" w:color="auto" w:sz="4" w:space="1"/>
          <w:right w:val="single" w:color="auto" w:sz="4" w:space="4"/>
          <w:between w:val="single" w:color="auto" w:sz="4" w:space="1"/>
        </w:pBdr>
        <w:shd w:val="clear" w:color="auto" w:fill="D8D8D8" w:themeFill="background1" w:themeFillShade="D9"/>
        <w:spacing w:after="120"/>
        <w:contextualSpacing w:val="0"/>
        <w:jc w:val="both"/>
        <w:rPr>
          <w:rFonts w:ascii="Book Antiqua" w:hAnsi="Book Antiqua"/>
          <w:b/>
          <w:color w:val="0000FF"/>
          <w:sz w:val="22"/>
          <w:szCs w:val="22"/>
        </w:rPr>
      </w:pPr>
      <w:r>
        <w:rPr>
          <w:rFonts w:ascii="Book Antiqua" w:hAnsi="Book Antiqua"/>
          <w:b/>
          <w:color w:val="0000FF"/>
          <w:sz w:val="22"/>
          <w:szCs w:val="22"/>
        </w:rPr>
        <w:t>– DAS DISPOSIÇÕES GERAIS</w:t>
      </w:r>
    </w:p>
    <w:p>
      <w:pPr>
        <w:pStyle w:val="83"/>
        <w:keepNext w:val="0"/>
        <w:keepLines w:val="0"/>
        <w:pageBreakBefore w:val="0"/>
        <w:widowControl w:val="0"/>
        <w:numPr>
          <w:ilvl w:val="1"/>
          <w:numId w:val="5"/>
        </w:numPr>
        <w:kinsoku/>
        <w:wordWrap/>
        <w:overflowPunct/>
        <w:topLinePunct w:val="0"/>
        <w:autoSpaceDE/>
        <w:autoSpaceDN/>
        <w:bidi w:val="0"/>
        <w:adjustRightInd/>
        <w:snapToGrid/>
        <w:spacing w:after="80"/>
        <w:contextualSpacing w:val="0"/>
        <w:jc w:val="both"/>
        <w:textAlignment w:val="auto"/>
        <w:rPr>
          <w:rFonts w:ascii="Book Antiqua" w:hAnsi="Book Antiqua" w:cs="Book Antiqua"/>
          <w:sz w:val="22"/>
          <w:szCs w:val="22"/>
        </w:rPr>
      </w:pPr>
      <w:r>
        <w:rPr>
          <w:rFonts w:ascii="Book Antiqua" w:hAnsi="Book Antiqua" w:cs="Book Antiqua"/>
          <w:b/>
          <w:sz w:val="22"/>
          <w:szCs w:val="22"/>
          <w:u w:val="single"/>
        </w:rPr>
        <w:t>PREÂMBULO:</w:t>
      </w:r>
      <w:r>
        <w:rPr>
          <w:rFonts w:ascii="Book Antiqua" w:hAnsi="Book Antiqua" w:cs="Book Antiqua"/>
          <w:b/>
          <w:sz w:val="22"/>
          <w:szCs w:val="22"/>
        </w:rPr>
        <w:tab/>
      </w:r>
    </w:p>
    <w:p>
      <w:pPr>
        <w:keepNext w:val="0"/>
        <w:keepLines w:val="0"/>
        <w:pageBreakBefore w:val="0"/>
        <w:numPr>
          <w:ilvl w:val="2"/>
          <w:numId w:val="5"/>
        </w:numPr>
        <w:kinsoku/>
        <w:wordWrap/>
        <w:overflowPunct/>
        <w:topLinePunct w:val="0"/>
        <w:autoSpaceDE/>
        <w:autoSpaceDN/>
        <w:bidi w:val="0"/>
        <w:adjustRightInd/>
        <w:snapToGrid/>
        <w:spacing w:after="80"/>
        <w:ind w:left="0" w:firstLine="0"/>
        <w:jc w:val="both"/>
        <w:textAlignment w:val="auto"/>
        <w:rPr>
          <w:rFonts w:ascii="Book Antiqua" w:hAnsi="Book Antiqua" w:cs="Book Antiqua"/>
        </w:rPr>
      </w:pPr>
      <w:r>
        <w:rPr>
          <w:rFonts w:ascii="Book Antiqua" w:hAnsi="Book Antiqua" w:cs="Book Antiqua"/>
        </w:rPr>
        <w:t>A Prefeitura do Município de Ariquemes</w:t>
      </w:r>
      <w:r>
        <w:rPr>
          <w:rFonts w:hint="default" w:ascii="Book Antiqua" w:hAnsi="Book Antiqua" w:cs="Book Antiqua"/>
          <w:lang w:val="pt-BR"/>
        </w:rPr>
        <w:t>/RO</w:t>
      </w:r>
      <w:r>
        <w:rPr>
          <w:rFonts w:ascii="Book Antiqua" w:hAnsi="Book Antiqua" w:cs="Book Antiqua"/>
        </w:rPr>
        <w:t xml:space="preserve">, pessoa jurídica de direito público, inscrita no CNPJ nº. 04.104.816/0001-16, com sede à Avenida Tancredo Neves, nº. 2.166, Setor Institucional, Ariquemes-RO, através do pregoeiro designado pelo </w:t>
      </w:r>
      <w:r>
        <w:rPr>
          <w:rFonts w:ascii="Book Antiqua" w:hAnsi="Book Antiqua" w:cs="Book Antiqua"/>
          <w:bCs/>
        </w:rPr>
        <w:t>Decreto Municipal nº. 17.118 datado de 13 de janeiro de 2021</w:t>
      </w:r>
      <w:r>
        <w:rPr>
          <w:rFonts w:ascii="Book Antiqua" w:hAnsi="Book Antiqua" w:cs="Book Antiqua"/>
        </w:rPr>
        <w:t xml:space="preserve">, torna público que se  encontra autorizada a realização da licitação na modalidade </w:t>
      </w:r>
      <w:r>
        <w:rPr>
          <w:rFonts w:ascii="Book Antiqua" w:hAnsi="Book Antiqua" w:cs="Book Antiqua"/>
          <w:b/>
        </w:rPr>
        <w:t>PREGÃO</w:t>
      </w:r>
      <w:r>
        <w:rPr>
          <w:rFonts w:ascii="Book Antiqua" w:hAnsi="Book Antiqua" w:cs="Book Antiqua"/>
        </w:rPr>
        <w:t xml:space="preserve">, na forma </w:t>
      </w:r>
      <w:r>
        <w:rPr>
          <w:rFonts w:ascii="Book Antiqua" w:hAnsi="Book Antiqua" w:cs="Book Antiqua"/>
          <w:b/>
        </w:rPr>
        <w:t>ELETRÔNICA</w:t>
      </w:r>
      <w:r>
        <w:rPr>
          <w:rFonts w:ascii="Book Antiqua" w:hAnsi="Book Antiqua" w:cs="Book Antiqua"/>
        </w:rPr>
        <w:t xml:space="preserve">, sob o nº </w:t>
      </w:r>
      <w:r>
        <w:rPr>
          <w:rFonts w:hint="default" w:ascii="Book Antiqua" w:hAnsi="Book Antiqua" w:cs="Book Antiqua"/>
          <w:b/>
          <w:lang w:val="pt-BR"/>
        </w:rPr>
        <w:t>168</w:t>
      </w:r>
      <w:r>
        <w:rPr>
          <w:rFonts w:ascii="Book Antiqua" w:hAnsi="Book Antiqua" w:cs="Book Antiqua"/>
          <w:b/>
        </w:rPr>
        <w:t>/2021/PREGÃO/SML/PMA</w:t>
      </w:r>
      <w:r>
        <w:rPr>
          <w:rFonts w:ascii="Book Antiqua" w:hAnsi="Book Antiqua" w:cs="Book Antiqua"/>
        </w:rPr>
        <w:t xml:space="preserve"> do tipo </w:t>
      </w:r>
      <w:r>
        <w:rPr>
          <w:rFonts w:ascii="Book Antiqua" w:hAnsi="Book Antiqua" w:cs="Book Antiqua"/>
          <w:b/>
        </w:rPr>
        <w:t xml:space="preserve">MENOR PREÇO, </w:t>
      </w:r>
      <w:r>
        <w:rPr>
          <w:rFonts w:ascii="Book Antiqua" w:hAnsi="Book Antiqua" w:cs="Book Antiqua"/>
          <w:bCs/>
        </w:rPr>
        <w:t>critério de julgamento</w:t>
      </w:r>
      <w:r>
        <w:rPr>
          <w:rFonts w:ascii="Book Antiqua" w:hAnsi="Book Antiqua" w:cs="Book Antiqua"/>
          <w:b/>
        </w:rPr>
        <w:t xml:space="preserve"> </w:t>
      </w:r>
      <w:r>
        <w:rPr>
          <w:rFonts w:hint="default" w:ascii="Book Antiqua" w:hAnsi="Book Antiqua" w:cs="Book Antiqua"/>
          <w:b/>
          <w:lang w:val="pt-BR"/>
        </w:rPr>
        <w:t>POR ITEM</w:t>
      </w:r>
      <w:r>
        <w:rPr>
          <w:rFonts w:ascii="Book Antiqua" w:hAnsi="Book Antiqua" w:cs="Book Antiqua"/>
        </w:rPr>
        <w:t>, tendo por finalida</w:t>
      </w:r>
      <w:r>
        <w:rPr>
          <w:rFonts w:hint="default" w:ascii="Book Antiqua" w:hAnsi="Book Antiqua" w:cs="Book Antiqua"/>
          <w:b w:val="0"/>
          <w:bCs w:val="0"/>
          <w:sz w:val="22"/>
          <w:szCs w:val="22"/>
        </w:rPr>
        <w:t>de</w:t>
      </w:r>
      <w:r>
        <w:rPr>
          <w:rFonts w:hint="default" w:ascii="Book Antiqua" w:hAnsi="Book Antiqua" w:cs="Book Antiqua"/>
          <w:b/>
          <w:bCs/>
          <w:sz w:val="22"/>
          <w:szCs w:val="22"/>
        </w:rPr>
        <w:t xml:space="preserve"> </w:t>
      </w:r>
      <w:r>
        <w:rPr>
          <w:rFonts w:hint="default" w:ascii="Book Antiqua" w:hAnsi="Book Antiqua" w:eastAsia="SimSun" w:cs="Book Antiqua"/>
          <w:b/>
          <w:bCs/>
          <w:sz w:val="22"/>
          <w:szCs w:val="22"/>
          <w:highlight w:val="yellow"/>
          <w:u w:val="single"/>
        </w:rPr>
        <w:t xml:space="preserve">CONTRATAÇÃO DE EMPRESA ESPECIALIZADA </w:t>
      </w:r>
      <w:r>
        <w:rPr>
          <w:rFonts w:hint="default" w:ascii="Book Antiqua" w:hAnsi="Book Antiqua" w:eastAsia="SimSun" w:cs="Book Antiqua"/>
          <w:b/>
          <w:bCs/>
          <w:sz w:val="22"/>
          <w:szCs w:val="22"/>
          <w:highlight w:val="yellow"/>
          <w:u w:val="single"/>
          <w:lang w:val="pt-BR"/>
        </w:rPr>
        <w:t>NA PRESTAÇÃO DE SERVIÇOS DE SEGURO TOTAL PARA VEÍCULOS LEVES E PESADOS, PARA ATENDER AS NECESSIDADES DA SECRETARIA MUNICIPAL DE DESENVOLVIMENTO SOCIAL - SEMDES.</w:t>
      </w:r>
      <w:r>
        <w:rPr>
          <w:rFonts w:ascii="SimSun" w:hAnsi="SimSun" w:eastAsia="SimSun" w:cs="SimSun"/>
          <w:sz w:val="24"/>
          <w:szCs w:val="24"/>
        </w:rPr>
        <w:t xml:space="preserve"> </w:t>
      </w:r>
      <w:r>
        <w:rPr>
          <w:rFonts w:ascii="Book Antiqua" w:hAnsi="Book Antiqua" w:eastAsia="SimSun" w:cs="Book Antiqua"/>
          <w:color w:val="000000"/>
          <w:lang w:eastAsia="zh-CN" w:bidi="ar"/>
        </w:rPr>
        <w:t xml:space="preserve"> </w:t>
      </w:r>
      <w:r>
        <w:rPr>
          <w:rFonts w:ascii="Book Antiqua" w:hAnsi="Book Antiqua" w:cs="Book Antiqua"/>
        </w:rPr>
        <w:t xml:space="preserve">O procedimento licitatório obedecerá ao disposto na Lei nº. 10.520 de 17/07/02, Decreto Municipal nº. 15.792 de 10 de outubro de 2019, Decreto Federal nº 10.024 de 20 de setembro de 2019, Lei Complementar nº 123 de 14 de </w:t>
      </w:r>
      <w:r>
        <w:rPr>
          <w:rFonts w:ascii="Book Antiqua" w:hAnsi="Book Antiqua" w:eastAsia="Liberation Serif" w:cs="Book Antiqua"/>
          <w:color w:val="000000"/>
          <w:lang w:val="en-US" w:eastAsia="zh-CN" w:bidi="ar"/>
        </w:rPr>
        <w:t>dezembro de 2006</w:t>
      </w:r>
      <w:r>
        <w:rPr>
          <w:rFonts w:ascii="Book Antiqua" w:hAnsi="Book Antiqua" w:cs="Book Antiqua"/>
        </w:rPr>
        <w:t>, aplicando-se subsidiariamente o disposto na Lei nº. 8.666 de 21 de junho de 1993 e suas alterações, bem como as demais legislações complementares e ainda pelas condições estabelecidas neste Edital e seus anexos e, em conformidade com a autorização contida no Processo.</w:t>
      </w:r>
    </w:p>
    <w:p>
      <w:pPr>
        <w:pStyle w:val="64"/>
        <w:keepNext w:val="0"/>
        <w:keepLines w:val="0"/>
        <w:pageBreakBefore w:val="0"/>
        <w:widowControl w:val="0"/>
        <w:numPr>
          <w:ilvl w:val="2"/>
          <w:numId w:val="5"/>
        </w:numPr>
        <w:kinsoku/>
        <w:wordWrap/>
        <w:overflowPunct/>
        <w:topLinePunct w:val="0"/>
        <w:autoSpaceDE/>
        <w:autoSpaceDN/>
        <w:bidi w:val="0"/>
        <w:adjustRightInd/>
        <w:snapToGrid/>
        <w:spacing w:after="80"/>
        <w:ind w:left="0" w:firstLine="0"/>
        <w:jc w:val="both"/>
        <w:textAlignment w:val="auto"/>
        <w:rPr>
          <w:rFonts w:ascii="Book Antiqua" w:hAnsi="Book Antiqua" w:cs="Book Antiqua"/>
          <w:b/>
          <w:sz w:val="22"/>
        </w:rPr>
      </w:pPr>
      <w:r>
        <w:rPr>
          <w:rFonts w:ascii="Book Antiqua" w:hAnsi="Book Antiqua" w:cs="Book Antiqua"/>
          <w:sz w:val="22"/>
        </w:rPr>
        <w:t>O instrumento</w:t>
      </w:r>
      <w:r>
        <w:rPr>
          <w:rFonts w:ascii="Book Antiqua" w:hAnsi="Book Antiqua" w:cs="Book Antiqua"/>
          <w:color w:val="000000"/>
          <w:sz w:val="22"/>
        </w:rPr>
        <w:t xml:space="preserve"> convocatório e todos os elementos integrantes encontram-se disponíveis, para conhecimento e retirada, no endereço eletrônico: </w:t>
      </w:r>
      <w:r>
        <w:fldChar w:fldCharType="begin"/>
      </w:r>
      <w:r>
        <w:instrText xml:space="preserve"> HYPERLINK "http://www.licitacoes-e.com.br" </w:instrText>
      </w:r>
      <w:r>
        <w:fldChar w:fldCharType="separate"/>
      </w:r>
      <w:r>
        <w:rPr>
          <w:rStyle w:val="19"/>
          <w:rFonts w:ascii="Book Antiqua" w:hAnsi="Book Antiqua" w:cs="Book Antiqua"/>
          <w:b/>
          <w:sz w:val="22"/>
        </w:rPr>
        <w:t>www.gov.br</w:t>
      </w:r>
      <w:r>
        <w:rPr>
          <w:rStyle w:val="19"/>
          <w:rFonts w:ascii="Book Antiqua" w:hAnsi="Book Antiqua" w:cs="Book Antiqua"/>
          <w:b/>
          <w:sz w:val="22"/>
        </w:rPr>
        <w:fldChar w:fldCharType="end"/>
      </w:r>
      <w:r>
        <w:rPr>
          <w:rStyle w:val="19"/>
          <w:rFonts w:ascii="Book Antiqua" w:hAnsi="Book Antiqua" w:cs="Book Antiqua"/>
          <w:b/>
          <w:sz w:val="22"/>
        </w:rPr>
        <w:t>/compras/pt-br</w:t>
      </w:r>
      <w:r>
        <w:rPr>
          <w:rStyle w:val="19"/>
          <w:rFonts w:ascii="Book Antiqua" w:hAnsi="Book Antiqua" w:cs="Book Antiqua"/>
          <w:b/>
          <w:sz w:val="22"/>
          <w:u w:val="none"/>
        </w:rPr>
        <w:t xml:space="preserve"> </w:t>
      </w:r>
      <w:r>
        <w:rPr>
          <w:rStyle w:val="19"/>
          <w:rFonts w:ascii="Book Antiqua" w:hAnsi="Book Antiqua" w:cs="Book Antiqua"/>
          <w:b/>
          <w:color w:val="000000" w:themeColor="text1"/>
          <w:sz w:val="22"/>
        </w:rPr>
        <w:t>(comprasnet);</w:t>
      </w:r>
      <w:r>
        <w:rPr>
          <w:rFonts w:ascii="Book Antiqua" w:hAnsi="Book Antiqua" w:cs="Book Antiqua"/>
          <w:b/>
          <w:color w:val="0000FF"/>
          <w:sz w:val="22"/>
        </w:rPr>
        <w:t xml:space="preserve"> </w:t>
      </w:r>
      <w:r>
        <w:rPr>
          <w:rFonts w:ascii="Book Antiqua" w:hAnsi="Book Antiqua" w:cs="Book Antiqua"/>
          <w:bCs/>
          <w:color w:val="000000" w:themeColor="text1"/>
          <w:sz w:val="22"/>
        </w:rPr>
        <w:t>e/ou</w:t>
      </w:r>
      <w:r>
        <w:rPr>
          <w:rFonts w:ascii="Book Antiqua" w:hAnsi="Book Antiqua" w:cs="Book Antiqua"/>
          <w:b/>
          <w:color w:val="0000FF"/>
          <w:sz w:val="22"/>
        </w:rPr>
        <w:t xml:space="preserve"> </w:t>
      </w:r>
      <w:r>
        <w:fldChar w:fldCharType="begin"/>
      </w:r>
      <w:r>
        <w:instrText xml:space="preserve"> HYPERLINK "http://www.ariquemes.ro.gov.br/licitacoes" </w:instrText>
      </w:r>
      <w:r>
        <w:fldChar w:fldCharType="separate"/>
      </w:r>
      <w:r>
        <w:rPr>
          <w:rStyle w:val="19"/>
          <w:rFonts w:ascii="Book Antiqua" w:hAnsi="Book Antiqua" w:cs="Book Antiqua"/>
          <w:b/>
          <w:sz w:val="22"/>
        </w:rPr>
        <w:t>www.ariquemes.ro.gov.br/licitacoes</w:t>
      </w:r>
      <w:r>
        <w:rPr>
          <w:rStyle w:val="19"/>
          <w:rFonts w:ascii="Book Antiqua" w:hAnsi="Book Antiqua" w:cs="Book Antiqua"/>
          <w:b/>
          <w:sz w:val="22"/>
        </w:rPr>
        <w:fldChar w:fldCharType="end"/>
      </w:r>
      <w:r>
        <w:rPr>
          <w:rFonts w:ascii="Book Antiqua" w:hAnsi="Book Antiqua" w:cs="Book Antiqua"/>
          <w:b/>
          <w:sz w:val="22"/>
        </w:rPr>
        <w:t xml:space="preserve">; </w:t>
      </w:r>
    </w:p>
    <w:p>
      <w:pPr>
        <w:pStyle w:val="64"/>
        <w:keepNext w:val="0"/>
        <w:keepLines w:val="0"/>
        <w:pageBreakBefore w:val="0"/>
        <w:widowControl w:val="0"/>
        <w:numPr>
          <w:ilvl w:val="2"/>
          <w:numId w:val="5"/>
        </w:numPr>
        <w:kinsoku/>
        <w:wordWrap/>
        <w:overflowPunct/>
        <w:topLinePunct w:val="0"/>
        <w:autoSpaceDE/>
        <w:autoSpaceDN/>
        <w:bidi w:val="0"/>
        <w:adjustRightInd/>
        <w:snapToGrid/>
        <w:spacing w:after="80"/>
        <w:ind w:left="0" w:firstLine="0"/>
        <w:jc w:val="both"/>
        <w:textAlignment w:val="auto"/>
        <w:rPr>
          <w:rFonts w:ascii="Book Antiqua" w:hAnsi="Book Antiqua" w:cs="Book Antiqua"/>
          <w:b/>
          <w:sz w:val="22"/>
        </w:rPr>
      </w:pPr>
      <w:r>
        <w:rPr>
          <w:rFonts w:ascii="Book Antiqua" w:hAnsi="Book Antiqua" w:cs="Book Antiqua"/>
          <w:color w:val="000000" w:themeColor="text1"/>
          <w:sz w:val="22"/>
        </w:rPr>
        <w:t>A sessão inaugural deste PREGÃO ELETRÔNICO dar-se-á por meio do sistema eletrônico, na data e horário, conforme abaixo:</w:t>
      </w:r>
    </w:p>
    <w:tbl>
      <w:tblPr>
        <w:tblStyle w:val="49"/>
        <w:tblW w:w="0" w:type="auto"/>
        <w:tblInd w:w="76"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852"/>
        <w:gridCol w:w="5208"/>
      </w:tblGrid>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4852" w:type="dxa"/>
            <w:tcBorders>
              <w:top w:val="single" w:color="auto" w:sz="4" w:space="0"/>
              <w:left w:val="single" w:color="auto" w:sz="4" w:space="0"/>
              <w:bottom w:val="dotted" w:color="auto" w:sz="4" w:space="0"/>
              <w:right w:val="dotted" w:color="auto" w:sz="4" w:space="0"/>
            </w:tcBorders>
            <w:vAlign w:val="center"/>
          </w:tcPr>
          <w:p>
            <w:pPr>
              <w:pStyle w:val="64"/>
              <w:widowControl w:val="0"/>
              <w:spacing w:line="276" w:lineRule="auto"/>
              <w:jc w:val="both"/>
              <w:rPr>
                <w:rFonts w:ascii="Book Antiqua" w:hAnsi="Book Antiqua" w:cs="Book Antiqua"/>
                <w:b/>
                <w:sz w:val="20"/>
                <w:szCs w:val="20"/>
              </w:rPr>
            </w:pPr>
            <w:r>
              <w:rPr>
                <w:rFonts w:ascii="Book Antiqua" w:hAnsi="Book Antiqua" w:cs="Book Antiqua"/>
                <w:b/>
                <w:sz w:val="20"/>
                <w:szCs w:val="20"/>
              </w:rPr>
              <w:t>CÓDIGO UASG:</w:t>
            </w:r>
          </w:p>
        </w:tc>
        <w:tc>
          <w:tcPr>
            <w:tcW w:w="5208" w:type="dxa"/>
            <w:tcBorders>
              <w:top w:val="single" w:color="auto" w:sz="4" w:space="0"/>
              <w:left w:val="dotted" w:color="auto" w:sz="4" w:space="0"/>
              <w:bottom w:val="dotted" w:color="auto" w:sz="4" w:space="0"/>
              <w:right w:val="single" w:color="auto" w:sz="4" w:space="0"/>
            </w:tcBorders>
            <w:vAlign w:val="center"/>
          </w:tcPr>
          <w:p>
            <w:pPr>
              <w:pStyle w:val="64"/>
              <w:widowControl w:val="0"/>
              <w:spacing w:line="276" w:lineRule="auto"/>
              <w:jc w:val="both"/>
              <w:rPr>
                <w:rFonts w:ascii="Book Antiqua" w:hAnsi="Book Antiqua" w:cs="Book Antiqua"/>
                <w:sz w:val="20"/>
                <w:szCs w:val="20"/>
              </w:rPr>
            </w:pPr>
            <w:r>
              <w:rPr>
                <w:rFonts w:ascii="Book Antiqua" w:hAnsi="Book Antiqua" w:cs="Book Antiqua"/>
                <w:b/>
                <w:bCs/>
                <w:sz w:val="20"/>
                <w:szCs w:val="20"/>
              </w:rPr>
              <w:t xml:space="preserve">450522 </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4852" w:type="dxa"/>
            <w:tcBorders>
              <w:top w:val="dotted" w:color="auto" w:sz="4" w:space="0"/>
              <w:left w:val="single" w:color="auto" w:sz="4" w:space="0"/>
              <w:bottom w:val="dotted" w:color="auto" w:sz="4" w:space="0"/>
              <w:right w:val="dotted" w:color="auto" w:sz="4" w:space="0"/>
            </w:tcBorders>
            <w:vAlign w:val="center"/>
          </w:tcPr>
          <w:p>
            <w:pPr>
              <w:pStyle w:val="64"/>
              <w:widowControl w:val="0"/>
              <w:spacing w:line="276" w:lineRule="auto"/>
              <w:jc w:val="both"/>
              <w:rPr>
                <w:rFonts w:ascii="Book Antiqua" w:hAnsi="Book Antiqua" w:cs="Book Antiqua"/>
                <w:b/>
                <w:sz w:val="20"/>
                <w:szCs w:val="20"/>
              </w:rPr>
            </w:pPr>
            <w:r>
              <w:rPr>
                <w:rFonts w:ascii="Book Antiqua" w:hAnsi="Book Antiqua" w:cs="Book Antiqua"/>
                <w:b/>
                <w:sz w:val="20"/>
                <w:szCs w:val="20"/>
              </w:rPr>
              <w:t xml:space="preserve">LOCAL: </w:t>
            </w:r>
          </w:p>
        </w:tc>
        <w:tc>
          <w:tcPr>
            <w:tcW w:w="5208" w:type="dxa"/>
            <w:tcBorders>
              <w:top w:val="dotted" w:color="auto" w:sz="4" w:space="0"/>
              <w:left w:val="dotted" w:color="auto" w:sz="4" w:space="0"/>
              <w:bottom w:val="dotted" w:color="auto" w:sz="4" w:space="0"/>
              <w:right w:val="single" w:color="auto" w:sz="4" w:space="0"/>
            </w:tcBorders>
            <w:vAlign w:val="center"/>
          </w:tcPr>
          <w:p>
            <w:pPr>
              <w:pStyle w:val="64"/>
              <w:widowControl w:val="0"/>
              <w:spacing w:line="276" w:lineRule="auto"/>
              <w:jc w:val="both"/>
              <w:rPr>
                <w:rFonts w:ascii="Book Antiqua" w:hAnsi="Book Antiqua" w:cs="Book Antiqua"/>
                <w:sz w:val="20"/>
                <w:szCs w:val="20"/>
              </w:rPr>
            </w:pPr>
            <w:r>
              <w:rPr>
                <w:b/>
                <w:bCs/>
              </w:rPr>
              <w:fldChar w:fldCharType="begin"/>
            </w:r>
            <w:r>
              <w:rPr>
                <w:b/>
                <w:bCs/>
              </w:rPr>
              <w:instrText xml:space="preserve"> HYPERLINK "https://www.gov.br/compras/" </w:instrText>
            </w:r>
            <w:r>
              <w:rPr>
                <w:b/>
                <w:bCs/>
              </w:rPr>
              <w:fldChar w:fldCharType="separate"/>
            </w:r>
            <w:r>
              <w:rPr>
                <w:rStyle w:val="19"/>
                <w:rFonts w:ascii="Book Antiqua" w:hAnsi="Book Antiqua" w:cs="Book Antiqua"/>
                <w:b/>
                <w:bCs/>
                <w:color w:val="auto"/>
                <w:sz w:val="20"/>
                <w:szCs w:val="20"/>
                <w:u w:val="none"/>
              </w:rPr>
              <w:t>www.gov.br/compras/</w:t>
            </w:r>
            <w:r>
              <w:rPr>
                <w:rStyle w:val="19"/>
                <w:rFonts w:ascii="Book Antiqua" w:hAnsi="Book Antiqua" w:cs="Book Antiqua"/>
                <w:b/>
                <w:bCs/>
                <w:color w:val="auto"/>
                <w:sz w:val="20"/>
                <w:szCs w:val="20"/>
                <w:u w:val="none"/>
              </w:rPr>
              <w:fldChar w:fldCharType="end"/>
            </w:r>
            <w:r>
              <w:rPr>
                <w:rStyle w:val="19"/>
                <w:rFonts w:ascii="Book Antiqua" w:hAnsi="Book Antiqua" w:cs="Book Antiqua"/>
                <w:b/>
                <w:bCs/>
                <w:color w:val="auto"/>
                <w:sz w:val="20"/>
                <w:szCs w:val="20"/>
                <w:u w:val="none"/>
              </w:rPr>
              <w:t>pt-br  (comprasnet)</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4852" w:type="dxa"/>
            <w:tcBorders>
              <w:top w:val="dotted" w:color="auto" w:sz="4" w:space="0"/>
              <w:left w:val="single" w:color="auto" w:sz="4" w:space="0"/>
              <w:bottom w:val="dotted" w:color="auto" w:sz="4" w:space="0"/>
              <w:right w:val="dotted" w:color="auto" w:sz="4" w:space="0"/>
            </w:tcBorders>
            <w:vAlign w:val="center"/>
          </w:tcPr>
          <w:p>
            <w:pPr>
              <w:pStyle w:val="64"/>
              <w:widowControl w:val="0"/>
              <w:spacing w:line="276" w:lineRule="auto"/>
              <w:jc w:val="both"/>
              <w:rPr>
                <w:rFonts w:ascii="Book Antiqua" w:hAnsi="Book Antiqua" w:cs="Book Antiqua"/>
                <w:b/>
                <w:sz w:val="20"/>
                <w:szCs w:val="20"/>
              </w:rPr>
            </w:pPr>
            <w:r>
              <w:rPr>
                <w:rFonts w:ascii="Book Antiqua" w:hAnsi="Book Antiqua" w:cs="Book Antiqua"/>
                <w:b/>
                <w:sz w:val="20"/>
                <w:szCs w:val="20"/>
              </w:rPr>
              <w:t xml:space="preserve">PREGOEIRO: </w:t>
            </w:r>
          </w:p>
        </w:tc>
        <w:tc>
          <w:tcPr>
            <w:tcW w:w="5208" w:type="dxa"/>
            <w:tcBorders>
              <w:top w:val="dotted" w:color="auto" w:sz="4" w:space="0"/>
              <w:left w:val="dotted" w:color="auto" w:sz="4" w:space="0"/>
              <w:bottom w:val="dotted" w:color="auto" w:sz="4" w:space="0"/>
              <w:right w:val="single" w:color="auto" w:sz="4" w:space="0"/>
            </w:tcBorders>
            <w:vAlign w:val="center"/>
          </w:tcPr>
          <w:p>
            <w:pPr>
              <w:pStyle w:val="64"/>
              <w:widowControl w:val="0"/>
              <w:spacing w:line="276" w:lineRule="auto"/>
              <w:jc w:val="both"/>
              <w:rPr>
                <w:rFonts w:ascii="Book Antiqua" w:hAnsi="Book Antiqua" w:cs="Book Antiqua"/>
                <w:b/>
                <w:sz w:val="20"/>
                <w:szCs w:val="20"/>
              </w:rPr>
            </w:pPr>
            <w:r>
              <w:rPr>
                <w:rFonts w:ascii="Book Antiqua" w:hAnsi="Book Antiqua" w:cs="Book Antiqua"/>
                <w:bCs/>
                <w:sz w:val="20"/>
                <w:szCs w:val="20"/>
              </w:rPr>
              <w:t>Jonhison José Andrade</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4852" w:type="dxa"/>
            <w:tcBorders>
              <w:top w:val="dotted" w:color="auto" w:sz="4" w:space="0"/>
              <w:left w:val="single" w:color="auto" w:sz="4" w:space="0"/>
              <w:bottom w:val="dotted" w:color="auto" w:sz="4" w:space="0"/>
              <w:right w:val="dotted" w:color="auto" w:sz="4" w:space="0"/>
            </w:tcBorders>
            <w:vAlign w:val="center"/>
          </w:tcPr>
          <w:p>
            <w:pPr>
              <w:pStyle w:val="64"/>
              <w:widowControl w:val="0"/>
              <w:spacing w:line="276" w:lineRule="auto"/>
              <w:jc w:val="both"/>
              <w:rPr>
                <w:rFonts w:ascii="Book Antiqua" w:hAnsi="Book Antiqua" w:cs="Book Antiqua"/>
                <w:b/>
                <w:sz w:val="18"/>
                <w:szCs w:val="18"/>
              </w:rPr>
            </w:pPr>
            <w:r>
              <w:rPr>
                <w:rFonts w:ascii="Book Antiqua" w:hAnsi="Book Antiqua" w:cs="Book Antiqua"/>
                <w:b/>
                <w:color w:val="000000" w:themeColor="text1"/>
                <w:sz w:val="18"/>
                <w:szCs w:val="18"/>
              </w:rPr>
              <w:t xml:space="preserve">INÍCIO PARA CADASTRO DE PROPOSTAS: </w:t>
            </w:r>
          </w:p>
        </w:tc>
        <w:tc>
          <w:tcPr>
            <w:tcW w:w="5208" w:type="dxa"/>
            <w:tcBorders>
              <w:top w:val="dotted" w:color="auto" w:sz="4" w:space="0"/>
              <w:left w:val="dotted" w:color="auto" w:sz="4" w:space="0"/>
              <w:bottom w:val="dotted" w:color="auto" w:sz="4" w:space="0"/>
              <w:right w:val="single" w:color="auto" w:sz="4" w:space="0"/>
            </w:tcBorders>
            <w:vAlign w:val="center"/>
          </w:tcPr>
          <w:p>
            <w:pPr>
              <w:pStyle w:val="64"/>
              <w:widowControl w:val="0"/>
              <w:spacing w:line="276" w:lineRule="auto"/>
              <w:jc w:val="both"/>
              <w:rPr>
                <w:rFonts w:ascii="Book Antiqua" w:hAnsi="Book Antiqua" w:cs="Book Antiqua"/>
                <w:b/>
                <w:sz w:val="20"/>
                <w:szCs w:val="20"/>
              </w:rPr>
            </w:pPr>
            <w:r>
              <w:rPr>
                <w:rFonts w:hint="default" w:ascii="Book Antiqua" w:hAnsi="Book Antiqua" w:cs="Book Antiqua"/>
                <w:color w:val="000000" w:themeColor="text1"/>
                <w:sz w:val="20"/>
                <w:szCs w:val="20"/>
                <w:lang w:val="pt-BR"/>
              </w:rPr>
              <w:t>16</w:t>
            </w:r>
            <w:r>
              <w:rPr>
                <w:rFonts w:ascii="Book Antiqua" w:hAnsi="Book Antiqua" w:cs="Book Antiqua"/>
                <w:color w:val="000000" w:themeColor="text1"/>
                <w:sz w:val="20"/>
                <w:szCs w:val="20"/>
              </w:rPr>
              <w:t>/</w:t>
            </w:r>
            <w:r>
              <w:rPr>
                <w:rFonts w:hint="default" w:ascii="Book Antiqua" w:hAnsi="Book Antiqua" w:cs="Book Antiqua"/>
                <w:color w:val="000000" w:themeColor="text1"/>
                <w:sz w:val="20"/>
                <w:szCs w:val="20"/>
                <w:lang w:val="pt-BR"/>
              </w:rPr>
              <w:t>12</w:t>
            </w:r>
            <w:r>
              <w:rPr>
                <w:rFonts w:ascii="Book Antiqua" w:hAnsi="Book Antiqua" w:cs="Book Antiqua"/>
                <w:color w:val="000000" w:themeColor="text1"/>
                <w:sz w:val="20"/>
                <w:szCs w:val="20"/>
              </w:rPr>
              <w:t>/202</w:t>
            </w:r>
            <w:r>
              <w:rPr>
                <w:rFonts w:hint="default" w:ascii="Book Antiqua" w:hAnsi="Book Antiqua" w:cs="Book Antiqua"/>
                <w:color w:val="000000" w:themeColor="text1"/>
                <w:sz w:val="20"/>
                <w:szCs w:val="20"/>
                <w:lang w:val="pt-BR"/>
              </w:rPr>
              <w:t>2</w:t>
            </w:r>
            <w:r>
              <w:rPr>
                <w:rFonts w:ascii="Book Antiqua" w:hAnsi="Book Antiqua" w:cs="Book Antiqua"/>
                <w:color w:val="000000" w:themeColor="text1"/>
                <w:sz w:val="20"/>
                <w:szCs w:val="20"/>
              </w:rPr>
              <w:t xml:space="preserve"> às 09h00min. (horário de Brasília).</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4852" w:type="dxa"/>
            <w:tcBorders>
              <w:top w:val="dotted" w:color="auto" w:sz="4" w:space="0"/>
              <w:left w:val="single" w:color="auto" w:sz="4" w:space="0"/>
              <w:bottom w:val="dotted" w:color="auto" w:sz="4" w:space="0"/>
              <w:right w:val="dotted" w:color="auto" w:sz="4" w:space="0"/>
            </w:tcBorders>
            <w:vAlign w:val="center"/>
          </w:tcPr>
          <w:p>
            <w:pPr>
              <w:pStyle w:val="64"/>
              <w:widowControl w:val="0"/>
              <w:spacing w:line="276" w:lineRule="auto"/>
              <w:jc w:val="both"/>
              <w:rPr>
                <w:rFonts w:ascii="Book Antiqua" w:hAnsi="Book Antiqua" w:cs="Book Antiqua"/>
                <w:b/>
                <w:sz w:val="18"/>
                <w:szCs w:val="18"/>
              </w:rPr>
            </w:pPr>
            <w:r>
              <w:rPr>
                <w:rFonts w:ascii="Book Antiqua" w:hAnsi="Book Antiqua" w:cs="Book Antiqua"/>
                <w:b/>
                <w:color w:val="000000" w:themeColor="text1"/>
                <w:sz w:val="18"/>
                <w:szCs w:val="18"/>
              </w:rPr>
              <w:t xml:space="preserve">LIMITE PARA CADASTRO DE PROPOSTAS: </w:t>
            </w:r>
          </w:p>
        </w:tc>
        <w:tc>
          <w:tcPr>
            <w:tcW w:w="5208" w:type="dxa"/>
            <w:tcBorders>
              <w:top w:val="dotted" w:color="auto" w:sz="4" w:space="0"/>
              <w:left w:val="dotted" w:color="auto" w:sz="4" w:space="0"/>
              <w:bottom w:val="dotted" w:color="auto" w:sz="4" w:space="0"/>
              <w:right w:val="single" w:color="auto" w:sz="4" w:space="0"/>
            </w:tcBorders>
            <w:vAlign w:val="center"/>
          </w:tcPr>
          <w:p>
            <w:pPr>
              <w:pStyle w:val="64"/>
              <w:widowControl w:val="0"/>
              <w:spacing w:line="276" w:lineRule="auto"/>
              <w:jc w:val="both"/>
              <w:rPr>
                <w:rFonts w:ascii="Book Antiqua" w:hAnsi="Book Antiqua" w:cs="Book Antiqua"/>
                <w:b/>
                <w:sz w:val="20"/>
                <w:szCs w:val="20"/>
              </w:rPr>
            </w:pPr>
            <w:r>
              <w:rPr>
                <w:rFonts w:hint="default" w:ascii="Book Antiqua" w:hAnsi="Book Antiqua" w:cs="Book Antiqua"/>
                <w:color w:val="000000" w:themeColor="text1"/>
                <w:sz w:val="20"/>
                <w:szCs w:val="20"/>
                <w:lang w:val="pt-BR"/>
              </w:rPr>
              <w:t>28</w:t>
            </w:r>
            <w:r>
              <w:rPr>
                <w:rFonts w:ascii="Book Antiqua" w:hAnsi="Book Antiqua" w:cs="Book Antiqua"/>
                <w:color w:val="000000" w:themeColor="text1"/>
                <w:sz w:val="20"/>
                <w:szCs w:val="20"/>
              </w:rPr>
              <w:t>/</w:t>
            </w:r>
            <w:r>
              <w:rPr>
                <w:rFonts w:hint="default" w:ascii="Book Antiqua" w:hAnsi="Book Antiqua" w:cs="Book Antiqua"/>
                <w:color w:val="000000" w:themeColor="text1"/>
                <w:sz w:val="20"/>
                <w:szCs w:val="20"/>
                <w:lang w:val="pt-BR"/>
              </w:rPr>
              <w:t>12</w:t>
            </w:r>
            <w:r>
              <w:rPr>
                <w:rFonts w:ascii="Book Antiqua" w:hAnsi="Book Antiqua" w:cs="Book Antiqua"/>
                <w:color w:val="000000" w:themeColor="text1"/>
                <w:sz w:val="20"/>
                <w:szCs w:val="20"/>
              </w:rPr>
              <w:t>/2021 às 09h</w:t>
            </w:r>
            <w:r>
              <w:rPr>
                <w:rFonts w:hint="default" w:ascii="Book Antiqua" w:hAnsi="Book Antiqua" w:cs="Book Antiqua"/>
                <w:color w:val="000000" w:themeColor="text1"/>
                <w:sz w:val="20"/>
                <w:szCs w:val="20"/>
                <w:lang w:val="pt-BR"/>
              </w:rPr>
              <w:t>3</w:t>
            </w:r>
            <w:r>
              <w:rPr>
                <w:rFonts w:ascii="Book Antiqua" w:hAnsi="Book Antiqua" w:cs="Book Antiqua"/>
                <w:color w:val="000000" w:themeColor="text1"/>
                <w:sz w:val="20"/>
                <w:szCs w:val="20"/>
              </w:rPr>
              <w:t>0min. (horário de Brasília).</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4852" w:type="dxa"/>
            <w:tcBorders>
              <w:top w:val="dotted" w:color="auto" w:sz="4" w:space="0"/>
              <w:left w:val="single" w:color="auto" w:sz="4" w:space="0"/>
              <w:bottom w:val="dotted" w:color="auto" w:sz="4" w:space="0"/>
              <w:right w:val="dotted" w:color="auto" w:sz="4" w:space="0"/>
            </w:tcBorders>
            <w:vAlign w:val="center"/>
          </w:tcPr>
          <w:p>
            <w:pPr>
              <w:pStyle w:val="64"/>
              <w:widowControl w:val="0"/>
              <w:spacing w:line="276" w:lineRule="auto"/>
              <w:jc w:val="both"/>
              <w:rPr>
                <w:rFonts w:ascii="Book Antiqua" w:hAnsi="Book Antiqua" w:cs="Book Antiqua"/>
                <w:b/>
                <w:sz w:val="22"/>
                <w:highlight w:val="yellow"/>
              </w:rPr>
            </w:pPr>
            <w:r>
              <w:rPr>
                <w:rFonts w:ascii="Book Antiqua" w:hAnsi="Book Antiqua" w:cs="Book Antiqua"/>
                <w:b/>
                <w:sz w:val="22"/>
                <w:highlight w:val="yellow"/>
              </w:rPr>
              <w:t>DATA DE ABERTURA DA SESSÃO:</w:t>
            </w:r>
          </w:p>
        </w:tc>
        <w:tc>
          <w:tcPr>
            <w:tcW w:w="5208" w:type="dxa"/>
            <w:tcBorders>
              <w:top w:val="dotted" w:color="auto" w:sz="4" w:space="0"/>
              <w:left w:val="dotted" w:color="auto" w:sz="4" w:space="0"/>
              <w:bottom w:val="dotted" w:color="auto" w:sz="4" w:space="0"/>
              <w:right w:val="single" w:color="auto" w:sz="4" w:space="0"/>
            </w:tcBorders>
            <w:vAlign w:val="center"/>
          </w:tcPr>
          <w:p>
            <w:pPr>
              <w:pStyle w:val="64"/>
              <w:widowControl w:val="0"/>
              <w:spacing w:line="276" w:lineRule="auto"/>
              <w:jc w:val="both"/>
              <w:rPr>
                <w:rFonts w:ascii="Book Antiqua" w:hAnsi="Book Antiqua" w:cs="Book Antiqua"/>
                <w:b/>
                <w:sz w:val="22"/>
                <w:highlight w:val="yellow"/>
              </w:rPr>
            </w:pPr>
            <w:r>
              <w:rPr>
                <w:rFonts w:hint="default" w:ascii="Book Antiqua" w:hAnsi="Book Antiqua" w:cs="Book Antiqua"/>
                <w:b/>
                <w:sz w:val="22"/>
                <w:highlight w:val="yellow"/>
                <w:lang w:val="pt-BR"/>
              </w:rPr>
              <w:t>28</w:t>
            </w:r>
            <w:r>
              <w:rPr>
                <w:rFonts w:ascii="Book Antiqua" w:hAnsi="Book Antiqua" w:cs="Book Antiqua"/>
                <w:b/>
                <w:sz w:val="22"/>
                <w:highlight w:val="yellow"/>
              </w:rPr>
              <w:t>/</w:t>
            </w:r>
            <w:r>
              <w:rPr>
                <w:rFonts w:hint="default" w:ascii="Book Antiqua" w:hAnsi="Book Antiqua" w:cs="Book Antiqua"/>
                <w:b/>
                <w:sz w:val="22"/>
                <w:highlight w:val="yellow"/>
                <w:lang w:val="pt-BR"/>
              </w:rPr>
              <w:t>12</w:t>
            </w:r>
            <w:r>
              <w:rPr>
                <w:rFonts w:ascii="Book Antiqua" w:hAnsi="Book Antiqua" w:cs="Book Antiqua"/>
                <w:b/>
                <w:sz w:val="22"/>
                <w:highlight w:val="yellow"/>
              </w:rPr>
              <w:t xml:space="preserve">/2021 às </w:t>
            </w:r>
            <w:r>
              <w:rPr>
                <w:rFonts w:ascii="Book Antiqua" w:hAnsi="Book Antiqua" w:cs="Book Antiqua"/>
                <w:b/>
                <w:sz w:val="22"/>
                <w:highlight w:val="yellow"/>
              </w:rPr>
              <w:fldChar w:fldCharType="begin"/>
            </w:r>
            <w:r>
              <w:rPr>
                <w:rFonts w:ascii="Book Antiqua" w:hAnsi="Book Antiqua" w:cs="Book Antiqua"/>
                <w:b/>
                <w:sz w:val="22"/>
                <w:highlight w:val="yellow"/>
              </w:rPr>
              <w:instrText xml:space="preserve"> MERGEFIELD "ABERTURA_HORA" </w:instrText>
            </w:r>
            <w:r>
              <w:rPr>
                <w:rFonts w:ascii="Book Antiqua" w:hAnsi="Book Antiqua" w:cs="Book Antiqua"/>
                <w:b/>
                <w:sz w:val="22"/>
                <w:highlight w:val="yellow"/>
              </w:rPr>
              <w:fldChar w:fldCharType="separate"/>
            </w:r>
            <w:r>
              <w:rPr>
                <w:rFonts w:ascii="Book Antiqua" w:hAnsi="Book Antiqua" w:cs="Book Antiqua"/>
                <w:b/>
                <w:sz w:val="22"/>
                <w:highlight w:val="yellow"/>
              </w:rPr>
              <w:t>09h</w:t>
            </w:r>
            <w:r>
              <w:rPr>
                <w:rFonts w:hint="default" w:ascii="Book Antiqua" w:hAnsi="Book Antiqua" w:cs="Book Antiqua"/>
                <w:b/>
                <w:sz w:val="22"/>
                <w:highlight w:val="yellow"/>
                <w:lang w:val="pt-BR"/>
              </w:rPr>
              <w:t>3</w:t>
            </w:r>
            <w:r>
              <w:rPr>
                <w:rFonts w:ascii="Book Antiqua" w:hAnsi="Book Antiqua" w:cs="Book Antiqua"/>
                <w:b/>
                <w:sz w:val="22"/>
                <w:highlight w:val="yellow"/>
              </w:rPr>
              <w:t>0min</w:t>
            </w:r>
            <w:r>
              <w:rPr>
                <w:rFonts w:ascii="Book Antiqua" w:hAnsi="Book Antiqua" w:cs="Book Antiqua"/>
                <w:b/>
                <w:sz w:val="22"/>
                <w:highlight w:val="yellow"/>
              </w:rPr>
              <w:fldChar w:fldCharType="end"/>
            </w:r>
            <w:r>
              <w:rPr>
                <w:rFonts w:ascii="Book Antiqua" w:hAnsi="Book Antiqua" w:cs="Book Antiqua"/>
                <w:b/>
                <w:sz w:val="22"/>
                <w:highlight w:val="yellow"/>
              </w:rPr>
              <w:t xml:space="preserve">. (horário de Brasília). </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4852" w:type="dxa"/>
            <w:tcBorders>
              <w:top w:val="dotted" w:color="auto" w:sz="4" w:space="0"/>
              <w:left w:val="single" w:color="auto" w:sz="4" w:space="0"/>
              <w:bottom w:val="dotted" w:color="auto" w:sz="4" w:space="0"/>
              <w:right w:val="dotted" w:color="auto" w:sz="4" w:space="0"/>
            </w:tcBorders>
            <w:vAlign w:val="center"/>
          </w:tcPr>
          <w:p>
            <w:pPr>
              <w:widowControl w:val="0"/>
              <w:spacing w:line="276" w:lineRule="auto"/>
              <w:jc w:val="both"/>
              <w:rPr>
                <w:rFonts w:ascii="Book Antiqua" w:hAnsi="Book Antiqua" w:cs="Book Antiqua"/>
                <w:b/>
                <w:sz w:val="20"/>
                <w:szCs w:val="20"/>
              </w:rPr>
            </w:pPr>
            <w:r>
              <w:rPr>
                <w:rFonts w:ascii="Book Antiqua" w:hAnsi="Book Antiqua" w:cs="Book Antiqua"/>
                <w:b/>
                <w:sz w:val="20"/>
                <w:szCs w:val="20"/>
              </w:rPr>
              <w:t>VALOR TOTAL ESTIMADO:</w:t>
            </w:r>
          </w:p>
        </w:tc>
        <w:tc>
          <w:tcPr>
            <w:tcW w:w="5208" w:type="dxa"/>
            <w:tcBorders>
              <w:top w:val="dotted" w:color="auto" w:sz="4" w:space="0"/>
              <w:left w:val="dotted" w:color="auto" w:sz="4" w:space="0"/>
              <w:bottom w:val="dotted" w:color="auto" w:sz="4" w:space="0"/>
              <w:right w:val="single" w:color="auto" w:sz="4" w:space="0"/>
            </w:tcBorders>
            <w:vAlign w:val="center"/>
          </w:tcPr>
          <w:p>
            <w:pPr>
              <w:widowControl w:val="0"/>
              <w:spacing w:line="276" w:lineRule="auto"/>
              <w:jc w:val="both"/>
              <w:rPr>
                <w:rFonts w:ascii="Book Antiqua" w:hAnsi="Book Antiqua" w:cs="Book Antiqua"/>
                <w:sz w:val="20"/>
                <w:szCs w:val="20"/>
              </w:rPr>
            </w:pPr>
            <w:r>
              <w:rPr>
                <w:rFonts w:ascii="Book Antiqua" w:hAnsi="Book Antiqua" w:cs="Book Antiqua"/>
                <w:b/>
                <w:bCs/>
                <w:sz w:val="20"/>
                <w:szCs w:val="20"/>
                <w:highlight w:val="yellow"/>
              </w:rPr>
              <w:t xml:space="preserve">R$ </w:t>
            </w:r>
            <w:r>
              <w:rPr>
                <w:rFonts w:hint="default" w:ascii="Book Antiqua" w:hAnsi="Book Antiqua" w:cs="Book Antiqua"/>
                <w:b/>
                <w:bCs/>
                <w:sz w:val="20"/>
                <w:szCs w:val="20"/>
                <w:highlight w:val="yellow"/>
                <w:lang w:val="pt-BR"/>
              </w:rPr>
              <w:t>19.474,89</w:t>
            </w:r>
            <w:r>
              <w:rPr>
                <w:rFonts w:ascii="Book Antiqua" w:hAnsi="Book Antiqua" w:cs="Book Antiqua"/>
                <w:sz w:val="20"/>
                <w:szCs w:val="20"/>
              </w:rPr>
              <w:t xml:space="preserve"> (</w:t>
            </w:r>
            <w:r>
              <w:rPr>
                <w:rFonts w:hint="default" w:ascii="Book Antiqua" w:hAnsi="Book Antiqua" w:cs="Book Antiqua"/>
                <w:sz w:val="20"/>
                <w:szCs w:val="20"/>
                <w:lang w:val="pt-BR"/>
              </w:rPr>
              <w:t>Dezenove Mil, Quatrocentos e Setenta e Quatro Reais e Oitenta e Nove Centavos</w:t>
            </w:r>
            <w:r>
              <w:rPr>
                <w:rFonts w:ascii="Book Antiqua" w:hAnsi="Book Antiqua" w:cs="Book Antiqua"/>
                <w:sz w:val="20"/>
                <w:szCs w:val="20"/>
              </w:rPr>
              <w:t>)</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4852" w:type="dxa"/>
            <w:tcBorders>
              <w:top w:val="dotted" w:color="auto" w:sz="4" w:space="0"/>
              <w:left w:val="single" w:color="auto" w:sz="4" w:space="0"/>
              <w:bottom w:val="dotted" w:color="auto" w:sz="4" w:space="0"/>
              <w:right w:val="dotted" w:color="auto" w:sz="4" w:space="0"/>
            </w:tcBorders>
            <w:vAlign w:val="center"/>
          </w:tcPr>
          <w:p>
            <w:pPr>
              <w:widowControl w:val="0"/>
              <w:spacing w:line="276" w:lineRule="auto"/>
              <w:jc w:val="both"/>
              <w:rPr>
                <w:rFonts w:ascii="Book Antiqua" w:hAnsi="Book Antiqua" w:cs="Book Antiqua"/>
                <w:b/>
                <w:sz w:val="20"/>
                <w:szCs w:val="20"/>
              </w:rPr>
            </w:pPr>
            <w:r>
              <w:rPr>
                <w:rFonts w:ascii="Book Antiqua" w:hAnsi="Book Antiqua" w:cs="Book Antiqua"/>
                <w:b/>
                <w:sz w:val="20"/>
                <w:szCs w:val="20"/>
              </w:rPr>
              <w:t xml:space="preserve">LANCE MÍNIMO: </w:t>
            </w:r>
          </w:p>
        </w:tc>
        <w:tc>
          <w:tcPr>
            <w:tcW w:w="5208" w:type="dxa"/>
            <w:tcBorders>
              <w:top w:val="dotted" w:color="auto" w:sz="4" w:space="0"/>
              <w:left w:val="dotted" w:color="auto" w:sz="4" w:space="0"/>
              <w:bottom w:val="dotted" w:color="auto" w:sz="4" w:space="0"/>
              <w:right w:val="single" w:color="auto" w:sz="4" w:space="0"/>
            </w:tcBorders>
            <w:vAlign w:val="center"/>
          </w:tcPr>
          <w:p>
            <w:pPr>
              <w:widowControl w:val="0"/>
              <w:spacing w:line="276" w:lineRule="auto"/>
              <w:jc w:val="both"/>
              <w:rPr>
                <w:rFonts w:ascii="Book Antiqua" w:hAnsi="Book Antiqua" w:cs="Book Antiqua"/>
                <w:b/>
                <w:sz w:val="20"/>
                <w:szCs w:val="20"/>
              </w:rPr>
            </w:pPr>
            <w:r>
              <w:rPr>
                <w:rFonts w:ascii="Book Antiqua" w:hAnsi="Book Antiqua" w:cs="Book Antiqua"/>
                <w:sz w:val="20"/>
                <w:szCs w:val="20"/>
              </w:rPr>
              <w:t xml:space="preserve">R$ </w:t>
            </w:r>
            <w:r>
              <w:rPr>
                <w:rFonts w:hint="default" w:ascii="Book Antiqua" w:hAnsi="Book Antiqua" w:cs="Book Antiqua"/>
                <w:sz w:val="20"/>
                <w:szCs w:val="20"/>
                <w:lang w:val="pt-BR"/>
              </w:rPr>
              <w:t>10</w:t>
            </w:r>
            <w:r>
              <w:rPr>
                <w:rFonts w:ascii="Book Antiqua" w:hAnsi="Book Antiqua" w:cs="Book Antiqua"/>
                <w:sz w:val="20"/>
                <w:szCs w:val="20"/>
              </w:rPr>
              <w:t>,00</w:t>
            </w:r>
            <w:r>
              <w:rPr>
                <w:rFonts w:ascii="Book Antiqua" w:hAnsi="Book Antiqua" w:cs="Book Antiqua"/>
                <w:b/>
                <w:sz w:val="20"/>
                <w:szCs w:val="20"/>
              </w:rPr>
              <w:t xml:space="preserve"> </w:t>
            </w:r>
            <w:r>
              <w:rPr>
                <w:rFonts w:ascii="Book Antiqua" w:hAnsi="Book Antiqua" w:cs="Book Antiqua"/>
                <w:sz w:val="20"/>
                <w:szCs w:val="20"/>
              </w:rPr>
              <w:t>(</w:t>
            </w:r>
            <w:r>
              <w:rPr>
                <w:rFonts w:hint="default" w:ascii="Book Antiqua" w:hAnsi="Book Antiqua" w:cs="Book Antiqua"/>
                <w:sz w:val="20"/>
                <w:szCs w:val="20"/>
                <w:lang w:val="pt-BR"/>
              </w:rPr>
              <w:t xml:space="preserve">Dez </w:t>
            </w:r>
            <w:r>
              <w:rPr>
                <w:rFonts w:ascii="Book Antiqua" w:hAnsi="Book Antiqua" w:cs="Book Antiqua"/>
                <w:sz w:val="20"/>
                <w:szCs w:val="20"/>
              </w:rPr>
              <w:t xml:space="preserve"> Reais)</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4852" w:type="dxa"/>
            <w:tcBorders>
              <w:top w:val="dotted" w:color="auto" w:sz="4" w:space="0"/>
              <w:left w:val="single" w:color="auto" w:sz="4" w:space="0"/>
              <w:bottom w:val="dotted" w:color="auto" w:sz="4" w:space="0"/>
              <w:right w:val="dotted" w:color="auto" w:sz="4" w:space="0"/>
            </w:tcBorders>
            <w:vAlign w:val="center"/>
          </w:tcPr>
          <w:p>
            <w:pPr>
              <w:widowControl w:val="0"/>
              <w:jc w:val="both"/>
              <w:rPr>
                <w:rFonts w:ascii="Book Antiqua" w:hAnsi="Book Antiqua" w:cs="Book Antiqua"/>
                <w:sz w:val="20"/>
                <w:szCs w:val="20"/>
              </w:rPr>
            </w:pPr>
            <w:r>
              <w:rPr>
                <w:rFonts w:ascii="Book Antiqua" w:hAnsi="Book Antiqua" w:cs="Book Antiqua"/>
                <w:b/>
                <w:sz w:val="20"/>
                <w:szCs w:val="20"/>
              </w:rPr>
              <w:t>TIPO DA LICITAÇÃO:</w:t>
            </w:r>
            <w:r>
              <w:rPr>
                <w:rFonts w:ascii="Book Antiqua" w:hAnsi="Book Antiqua" w:cs="Book Antiqua"/>
                <w:sz w:val="20"/>
                <w:szCs w:val="20"/>
              </w:rPr>
              <w:t xml:space="preserve"> </w:t>
            </w:r>
          </w:p>
        </w:tc>
        <w:tc>
          <w:tcPr>
            <w:tcW w:w="5208" w:type="dxa"/>
            <w:tcBorders>
              <w:top w:val="dotted" w:color="auto" w:sz="4" w:space="0"/>
              <w:left w:val="dotted" w:color="auto" w:sz="4" w:space="0"/>
              <w:bottom w:val="dotted" w:color="auto" w:sz="4" w:space="0"/>
              <w:right w:val="single" w:color="auto" w:sz="4" w:space="0"/>
            </w:tcBorders>
            <w:vAlign w:val="center"/>
          </w:tcPr>
          <w:p>
            <w:pPr>
              <w:pStyle w:val="64"/>
              <w:widowControl w:val="0"/>
              <w:spacing w:line="276" w:lineRule="auto"/>
              <w:jc w:val="both"/>
              <w:rPr>
                <w:rFonts w:ascii="Book Antiqua" w:hAnsi="Book Antiqua" w:cs="Book Antiqua"/>
                <w:b/>
                <w:sz w:val="20"/>
                <w:szCs w:val="20"/>
              </w:rPr>
            </w:pPr>
            <w:r>
              <w:rPr>
                <w:rFonts w:ascii="Book Antiqua" w:hAnsi="Book Antiqua" w:cs="Book Antiqua"/>
                <w:sz w:val="20"/>
                <w:szCs w:val="20"/>
              </w:rPr>
              <w:t>(Art. 45, § 1º, I da Lei 8.666/93) - Menor Preço.</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4852" w:type="dxa"/>
            <w:tcBorders>
              <w:top w:val="dotted" w:color="auto" w:sz="4" w:space="0"/>
              <w:left w:val="single" w:color="auto" w:sz="4" w:space="0"/>
              <w:bottom w:val="dotted" w:color="auto" w:sz="4" w:space="0"/>
              <w:right w:val="dotted" w:color="auto" w:sz="4" w:space="0"/>
            </w:tcBorders>
            <w:vAlign w:val="center"/>
          </w:tcPr>
          <w:p>
            <w:pPr>
              <w:widowControl w:val="0"/>
              <w:jc w:val="both"/>
              <w:rPr>
                <w:rFonts w:ascii="Book Antiqua" w:hAnsi="Book Antiqua" w:cs="Book Antiqua"/>
                <w:sz w:val="20"/>
                <w:szCs w:val="20"/>
              </w:rPr>
            </w:pPr>
            <w:r>
              <w:rPr>
                <w:rFonts w:ascii="Book Antiqua" w:hAnsi="Book Antiqua" w:cs="Book Antiqua"/>
                <w:b/>
                <w:sz w:val="20"/>
                <w:szCs w:val="20"/>
              </w:rPr>
              <w:t>CRITÉRIO DE JULGAMENTO</w:t>
            </w:r>
            <w:r>
              <w:rPr>
                <w:rFonts w:ascii="Book Antiqua" w:hAnsi="Book Antiqua" w:cs="Book Antiqua"/>
                <w:sz w:val="20"/>
                <w:szCs w:val="20"/>
              </w:rPr>
              <w:t xml:space="preserve">: </w:t>
            </w:r>
          </w:p>
        </w:tc>
        <w:tc>
          <w:tcPr>
            <w:tcW w:w="5208" w:type="dxa"/>
            <w:tcBorders>
              <w:top w:val="dotted" w:color="auto" w:sz="4" w:space="0"/>
              <w:left w:val="dotted" w:color="auto" w:sz="4" w:space="0"/>
              <w:bottom w:val="dotted" w:color="auto" w:sz="4" w:space="0"/>
              <w:right w:val="single" w:color="auto" w:sz="4" w:space="0"/>
            </w:tcBorders>
            <w:vAlign w:val="center"/>
          </w:tcPr>
          <w:p>
            <w:pPr>
              <w:pStyle w:val="64"/>
              <w:widowControl w:val="0"/>
              <w:spacing w:line="276" w:lineRule="auto"/>
              <w:jc w:val="both"/>
              <w:rPr>
                <w:rFonts w:hint="default" w:ascii="Book Antiqua" w:hAnsi="Book Antiqua" w:cs="Book Antiqua"/>
                <w:b/>
                <w:sz w:val="20"/>
                <w:szCs w:val="20"/>
                <w:lang w:val="pt-BR"/>
              </w:rPr>
            </w:pPr>
            <w:r>
              <w:rPr>
                <w:rFonts w:ascii="Book Antiqua" w:hAnsi="Book Antiqua" w:cs="Book Antiqua"/>
                <w:sz w:val="20"/>
                <w:szCs w:val="20"/>
              </w:rPr>
              <w:t xml:space="preserve">Menor Preço </w:t>
            </w:r>
            <w:r>
              <w:rPr>
                <w:rFonts w:hint="default" w:ascii="Book Antiqua" w:hAnsi="Book Antiqua" w:cs="Book Antiqua"/>
                <w:sz w:val="20"/>
                <w:szCs w:val="20"/>
                <w:lang w:val="pt-BR"/>
              </w:rPr>
              <w:t>por Item</w:t>
            </w:r>
          </w:p>
        </w:tc>
      </w:tr>
      <w:tr>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4852" w:type="dxa"/>
            <w:tcBorders>
              <w:top w:val="dotted" w:color="auto" w:sz="4" w:space="0"/>
              <w:left w:val="single" w:color="auto" w:sz="4" w:space="0"/>
              <w:right w:val="dotted" w:color="auto" w:sz="4" w:space="0"/>
            </w:tcBorders>
            <w:vAlign w:val="center"/>
          </w:tcPr>
          <w:p>
            <w:pPr>
              <w:pStyle w:val="64"/>
              <w:keepNext w:val="0"/>
              <w:keepLines w:val="0"/>
              <w:pageBreakBefore w:val="0"/>
              <w:widowControl w:val="0"/>
              <w:kinsoku/>
              <w:wordWrap/>
              <w:overflowPunct/>
              <w:topLinePunct w:val="0"/>
              <w:autoSpaceDE/>
              <w:autoSpaceDN/>
              <w:bidi w:val="0"/>
              <w:adjustRightInd/>
              <w:snapToGrid/>
              <w:jc w:val="both"/>
              <w:textAlignment w:val="auto"/>
              <w:rPr>
                <w:rFonts w:ascii="Book Antiqua" w:hAnsi="Book Antiqua" w:cs="Book Antiqua"/>
                <w:b/>
                <w:sz w:val="20"/>
                <w:szCs w:val="20"/>
              </w:rPr>
            </w:pPr>
            <w:r>
              <w:rPr>
                <w:rFonts w:ascii="Book Antiqua" w:hAnsi="Book Antiqua" w:cs="Book Antiqua"/>
                <w:b/>
                <w:sz w:val="20"/>
                <w:szCs w:val="20"/>
              </w:rPr>
              <w:t>MODO DE DISPUTA:</w:t>
            </w:r>
            <w:r>
              <w:rPr>
                <w:rFonts w:ascii="Book Antiqua" w:hAnsi="Book Antiqua" w:cs="Book Antiqua"/>
                <w:sz w:val="20"/>
                <w:szCs w:val="20"/>
              </w:rPr>
              <w:t xml:space="preserve"> </w:t>
            </w:r>
          </w:p>
        </w:tc>
        <w:tc>
          <w:tcPr>
            <w:tcW w:w="5208" w:type="dxa"/>
            <w:tcBorders>
              <w:top w:val="dotted" w:color="auto" w:sz="4" w:space="0"/>
              <w:left w:val="dotted" w:color="auto" w:sz="4" w:space="0"/>
              <w:right w:val="single" w:color="auto" w:sz="4" w:space="0"/>
            </w:tcBorders>
            <w:vAlign w:val="center"/>
          </w:tcPr>
          <w:p>
            <w:pPr>
              <w:pStyle w:val="64"/>
              <w:keepNext w:val="0"/>
              <w:keepLines w:val="0"/>
              <w:pageBreakBefore w:val="0"/>
              <w:widowControl w:val="0"/>
              <w:kinsoku/>
              <w:wordWrap/>
              <w:overflowPunct/>
              <w:topLinePunct w:val="0"/>
              <w:autoSpaceDE/>
              <w:autoSpaceDN/>
              <w:bidi w:val="0"/>
              <w:adjustRightInd/>
              <w:snapToGrid/>
              <w:spacing w:line="276" w:lineRule="auto"/>
              <w:jc w:val="both"/>
              <w:textAlignment w:val="auto"/>
              <w:rPr>
                <w:rFonts w:ascii="Book Antiqua" w:hAnsi="Book Antiqua" w:cs="Book Antiqua"/>
                <w:b/>
                <w:sz w:val="20"/>
                <w:szCs w:val="20"/>
              </w:rPr>
            </w:pPr>
            <w:r>
              <w:rPr>
                <w:rFonts w:ascii="Book Antiqua" w:hAnsi="Book Antiqua" w:cs="Book Antiqua"/>
                <w:sz w:val="20"/>
                <w:szCs w:val="20"/>
              </w:rPr>
              <w:t>Aberto (Decreto Federal nº 10.024/2019)</w:t>
            </w:r>
          </w:p>
        </w:tc>
      </w:tr>
    </w:tbl>
    <w:p>
      <w:pPr>
        <w:pStyle w:val="64"/>
        <w:keepNext w:val="0"/>
        <w:keepLines w:val="0"/>
        <w:pageBreakBefore w:val="0"/>
        <w:widowControl w:val="0"/>
        <w:kinsoku/>
        <w:wordWrap/>
        <w:overflowPunct/>
        <w:topLinePunct w:val="0"/>
        <w:autoSpaceDE/>
        <w:autoSpaceDN/>
        <w:bidi w:val="0"/>
        <w:adjustRightInd/>
        <w:snapToGrid/>
        <w:jc w:val="both"/>
        <w:textAlignment w:val="auto"/>
        <w:rPr>
          <w:rFonts w:ascii="Book Antiqua" w:hAnsi="Book Antiqua"/>
          <w:b/>
          <w:sz w:val="8"/>
          <w:szCs w:val="8"/>
        </w:rPr>
      </w:pPr>
    </w:p>
    <w:p>
      <w:pPr>
        <w:pStyle w:val="83"/>
        <w:keepNext w:val="0"/>
        <w:keepLines w:val="0"/>
        <w:pageBreakBefore w:val="0"/>
        <w:widowControl w:val="0"/>
        <w:numPr>
          <w:ilvl w:val="3"/>
          <w:numId w:val="6"/>
        </w:numPr>
        <w:kinsoku/>
        <w:wordWrap/>
        <w:overflowPunct/>
        <w:topLinePunct w:val="0"/>
        <w:autoSpaceDE/>
        <w:autoSpaceDN/>
        <w:bidi w:val="0"/>
        <w:adjustRightInd/>
        <w:snapToGrid/>
        <w:ind w:left="0" w:firstLine="0"/>
        <w:contextualSpacing w:val="0"/>
        <w:jc w:val="both"/>
        <w:textAlignment w:val="auto"/>
        <w:rPr>
          <w:rFonts w:ascii="Book Antiqua" w:hAnsi="Book Antiqua"/>
          <w:b/>
          <w:color w:val="000000" w:themeColor="text1"/>
          <w:sz w:val="22"/>
          <w:szCs w:val="22"/>
        </w:rPr>
      </w:pPr>
      <w:r>
        <w:rPr>
          <w:rFonts w:ascii="Book Antiqua" w:hAnsi="Book Antiqua"/>
          <w:sz w:val="22"/>
          <w:szCs w:val="22"/>
        </w:rPr>
        <w:t>Não havendo expediente, ou ocorrendo qualquer fato superveniente que impeça a abertura do certame na data marcada, a sessão pública será transferida para uma data posterior, mediante comunicação do pregoeiro aos licitantes;</w:t>
      </w:r>
    </w:p>
    <w:p>
      <w:pPr>
        <w:pStyle w:val="83"/>
        <w:keepNext w:val="0"/>
        <w:keepLines w:val="0"/>
        <w:pageBreakBefore w:val="0"/>
        <w:widowControl w:val="0"/>
        <w:numPr>
          <w:ilvl w:val="3"/>
          <w:numId w:val="6"/>
        </w:numPr>
        <w:kinsoku/>
        <w:wordWrap/>
        <w:overflowPunct/>
        <w:topLinePunct w:val="0"/>
        <w:autoSpaceDE/>
        <w:autoSpaceDN/>
        <w:bidi w:val="0"/>
        <w:adjustRightInd/>
        <w:snapToGrid/>
        <w:ind w:left="0" w:firstLine="0"/>
        <w:contextualSpacing w:val="0"/>
        <w:jc w:val="both"/>
        <w:textAlignment w:val="auto"/>
        <w:rPr>
          <w:rFonts w:ascii="Book Antiqua" w:hAnsi="Book Antiqua" w:cs="Book Antiqua"/>
          <w:color w:val="000000" w:themeColor="text1"/>
          <w:sz w:val="22"/>
          <w:szCs w:val="22"/>
        </w:rPr>
      </w:pPr>
      <w:r>
        <w:rPr>
          <w:rFonts w:ascii="Book Antiqua" w:hAnsi="Book Antiqua" w:cs="Book Antiqua"/>
          <w:color w:val="000000" w:themeColor="text1"/>
          <w:sz w:val="22"/>
          <w:szCs w:val="22"/>
        </w:rPr>
        <w:t>Os horários mencionados neste Edital de Licitação referem-se ao horário oficial de Brasília - DF, s</w:t>
      </w:r>
      <w:r>
        <w:rPr>
          <w:rFonts w:ascii="Book Antiqua" w:hAnsi="Book Antiqua" w:eastAsia="SimSun" w:cs="Book Antiqua"/>
          <w:color w:val="000000" w:themeColor="text1"/>
          <w:sz w:val="22"/>
          <w:szCs w:val="22"/>
        </w:rPr>
        <w:t>alvo quando explicitamente descrito em contrário.</w:t>
      </w:r>
    </w:p>
    <w:p>
      <w:pPr>
        <w:pStyle w:val="83"/>
        <w:keepNext w:val="0"/>
        <w:keepLines w:val="0"/>
        <w:pageBreakBefore w:val="0"/>
        <w:widowControl w:val="0"/>
        <w:numPr>
          <w:ilvl w:val="0"/>
          <w:numId w:val="0"/>
        </w:numPr>
        <w:kinsoku/>
        <w:wordWrap/>
        <w:overflowPunct/>
        <w:topLinePunct w:val="0"/>
        <w:autoSpaceDE/>
        <w:autoSpaceDN/>
        <w:bidi w:val="0"/>
        <w:adjustRightInd/>
        <w:snapToGrid/>
        <w:ind w:leftChars="0"/>
        <w:contextualSpacing w:val="0"/>
        <w:jc w:val="both"/>
        <w:textAlignment w:val="auto"/>
        <w:rPr>
          <w:rFonts w:ascii="Book Antiqua" w:hAnsi="Book Antiqua" w:cs="Book Antiqua"/>
          <w:color w:val="000000" w:themeColor="text1"/>
          <w:sz w:val="22"/>
          <w:szCs w:val="22"/>
        </w:rPr>
      </w:pPr>
    </w:p>
    <w:p>
      <w:pPr>
        <w:pStyle w:val="83"/>
        <w:widowControl w:val="0"/>
        <w:numPr>
          <w:ilvl w:val="1"/>
          <w:numId w:val="5"/>
        </w:numPr>
        <w:pBdr>
          <w:top w:val="single" w:color="auto" w:sz="4" w:space="1"/>
          <w:left w:val="single" w:color="auto" w:sz="4" w:space="4"/>
          <w:bottom w:val="single" w:color="auto" w:sz="4" w:space="1"/>
          <w:right w:val="single" w:color="auto" w:sz="4" w:space="4"/>
          <w:between w:val="single" w:color="auto" w:sz="4" w:space="1"/>
        </w:pBdr>
        <w:shd w:val="clear" w:color="auto" w:fill="D8D8D8" w:themeFill="background1" w:themeFillShade="D9"/>
        <w:spacing w:after="80"/>
        <w:contextualSpacing w:val="0"/>
        <w:jc w:val="both"/>
        <w:rPr>
          <w:rFonts w:ascii="Book Antiqua" w:hAnsi="Book Antiqua"/>
          <w:b/>
          <w:color w:val="0000FF"/>
          <w:sz w:val="22"/>
          <w:szCs w:val="22"/>
        </w:rPr>
      </w:pPr>
      <w:r>
        <w:rPr>
          <w:rFonts w:ascii="Book Antiqua" w:hAnsi="Book Antiqua"/>
          <w:b/>
          <w:color w:val="0000FF"/>
          <w:sz w:val="22"/>
          <w:szCs w:val="22"/>
        </w:rPr>
        <w:t xml:space="preserve">DA FORMALIZAÇÃO E AUTORIZAÇÃO: </w:t>
      </w:r>
    </w:p>
    <w:p>
      <w:pPr>
        <w:pStyle w:val="83"/>
        <w:keepNext w:val="0"/>
        <w:keepLines w:val="0"/>
        <w:pageBreakBefore w:val="0"/>
        <w:widowControl w:val="0"/>
        <w:numPr>
          <w:ilvl w:val="2"/>
          <w:numId w:val="5"/>
        </w:numPr>
        <w:kinsoku/>
        <w:wordWrap/>
        <w:overflowPunct/>
        <w:topLinePunct w:val="0"/>
        <w:autoSpaceDE/>
        <w:autoSpaceDN/>
        <w:bidi w:val="0"/>
        <w:adjustRightInd/>
        <w:snapToGrid/>
        <w:spacing w:after="120"/>
        <w:ind w:left="0" w:firstLine="0"/>
        <w:contextualSpacing w:val="0"/>
        <w:jc w:val="both"/>
        <w:textAlignment w:val="auto"/>
        <w:rPr>
          <w:rFonts w:ascii="Book Antiqua" w:hAnsi="Book Antiqua"/>
          <w:color w:val="000000"/>
          <w:sz w:val="22"/>
          <w:szCs w:val="22"/>
        </w:rPr>
      </w:pPr>
      <w:r>
        <w:rPr>
          <w:rFonts w:ascii="Book Antiqua" w:hAnsi="Book Antiqua"/>
          <w:color w:val="000000"/>
          <w:sz w:val="22"/>
          <w:szCs w:val="22"/>
        </w:rPr>
        <w:t xml:space="preserve">Esta </w:t>
      </w:r>
      <w:r>
        <w:rPr>
          <w:rFonts w:ascii="Book Antiqua" w:hAnsi="Book Antiqua"/>
          <w:color w:val="000000" w:themeColor="text1"/>
          <w:sz w:val="22"/>
          <w:szCs w:val="22"/>
        </w:rPr>
        <w:t xml:space="preserve">Licitação encontra-se formalizada e autorizada por meio do </w:t>
      </w:r>
      <w:r>
        <w:rPr>
          <w:rFonts w:ascii="Book Antiqua" w:hAnsi="Book Antiqua"/>
          <w:b/>
          <w:bCs/>
          <w:color w:val="000000" w:themeColor="text1"/>
          <w:sz w:val="22"/>
          <w:szCs w:val="22"/>
        </w:rPr>
        <w:t xml:space="preserve">Processo Administrativo N° </w:t>
      </w:r>
      <w:r>
        <w:rPr>
          <w:rFonts w:hint="default" w:ascii="Book Antiqua" w:hAnsi="Book Antiqua"/>
          <w:b/>
          <w:bCs/>
          <w:color w:val="000000" w:themeColor="text1"/>
          <w:sz w:val="22"/>
          <w:szCs w:val="22"/>
          <w:lang w:val="pt-BR"/>
        </w:rPr>
        <w:t>2883</w:t>
      </w:r>
      <w:r>
        <w:rPr>
          <w:rFonts w:ascii="Book Antiqua" w:hAnsi="Book Antiqua"/>
          <w:b/>
          <w:bCs/>
          <w:color w:val="000000" w:themeColor="text1"/>
          <w:sz w:val="22"/>
          <w:szCs w:val="22"/>
        </w:rPr>
        <w:t>/2021/SEM</w:t>
      </w:r>
      <w:r>
        <w:rPr>
          <w:rFonts w:hint="default" w:ascii="Book Antiqua" w:hAnsi="Book Antiqua"/>
          <w:b/>
          <w:bCs/>
          <w:color w:val="000000" w:themeColor="text1"/>
          <w:sz w:val="22"/>
          <w:szCs w:val="22"/>
          <w:lang w:val="pt-BR"/>
        </w:rPr>
        <w:t>DES</w:t>
      </w:r>
      <w:r>
        <w:rPr>
          <w:rFonts w:ascii="Book Antiqua" w:hAnsi="Book Antiqua"/>
          <w:color w:val="000000" w:themeColor="text1"/>
          <w:sz w:val="22"/>
          <w:szCs w:val="22"/>
        </w:rPr>
        <w:t>, e destina-se a garantir a observância do princípio constitucional da isonomia e a selecionar a proposta</w:t>
      </w:r>
      <w:r>
        <w:rPr>
          <w:rFonts w:ascii="Book Antiqua" w:hAnsi="Book Antiqua"/>
          <w:color w:val="000000"/>
          <w:sz w:val="22"/>
          <w:szCs w:val="22"/>
        </w:rPr>
        <w:t xml:space="preserve"> mais vantajosa para a Administração Pública e será processada e julgada em estrita conformidade com os princípios básicos da legalidade, da impessoalidade, da moralidade, da igualdade, da publicidade, da probidade administrativa, da vinculação ao instrumento convocatório, do julgamento objetivo de que lhe são correlatos.</w:t>
      </w:r>
    </w:p>
    <w:p>
      <w:pPr>
        <w:pStyle w:val="83"/>
        <w:keepNext w:val="0"/>
        <w:keepLines w:val="0"/>
        <w:pageBreakBefore w:val="0"/>
        <w:widowControl w:val="0"/>
        <w:numPr>
          <w:ilvl w:val="2"/>
          <w:numId w:val="5"/>
        </w:numPr>
        <w:kinsoku/>
        <w:wordWrap/>
        <w:overflowPunct/>
        <w:topLinePunct w:val="0"/>
        <w:autoSpaceDE/>
        <w:autoSpaceDN/>
        <w:bidi w:val="0"/>
        <w:adjustRightInd/>
        <w:snapToGrid/>
        <w:spacing w:after="120"/>
        <w:ind w:left="0" w:firstLine="0"/>
        <w:contextualSpacing w:val="0"/>
        <w:jc w:val="both"/>
        <w:textAlignment w:val="auto"/>
        <w:rPr>
          <w:rFonts w:ascii="Book Antiqua" w:hAnsi="Book Antiqua"/>
          <w:color w:val="000000"/>
          <w:sz w:val="22"/>
          <w:szCs w:val="22"/>
        </w:rPr>
      </w:pPr>
      <w:r>
        <w:rPr>
          <w:rFonts w:ascii="Book Antiqua" w:hAnsi="Book Antiqua"/>
          <w:sz w:val="22"/>
          <w:szCs w:val="22"/>
        </w:rPr>
        <w:t xml:space="preserve">Todo o procedimento licitatório será realizado somente através do sistema contido no endereço eletrônico: </w:t>
      </w:r>
      <w:r>
        <w:rPr>
          <w:rFonts w:ascii="Book Antiqua" w:hAnsi="Book Antiqua"/>
          <w:b/>
          <w:color w:val="0000FF"/>
          <w:sz w:val="22"/>
          <w:szCs w:val="22"/>
          <w:u w:val="single"/>
        </w:rPr>
        <w:t>http://</w:t>
      </w:r>
      <w:r>
        <w:fldChar w:fldCharType="begin"/>
      </w:r>
      <w:r>
        <w:instrText xml:space="preserve"> HYPERLINK "http://www.comprasnet.gov.br" </w:instrText>
      </w:r>
      <w:r>
        <w:fldChar w:fldCharType="separate"/>
      </w:r>
      <w:r>
        <w:rPr>
          <w:rStyle w:val="19"/>
          <w:rFonts w:ascii="Book Antiqua" w:hAnsi="Book Antiqua"/>
          <w:b/>
          <w:sz w:val="22"/>
          <w:szCs w:val="22"/>
        </w:rPr>
        <w:t>www.gov.br</w:t>
      </w:r>
      <w:r>
        <w:rPr>
          <w:rStyle w:val="19"/>
          <w:rFonts w:ascii="Book Antiqua" w:hAnsi="Book Antiqua"/>
          <w:b/>
          <w:sz w:val="22"/>
          <w:szCs w:val="22"/>
        </w:rPr>
        <w:fldChar w:fldCharType="end"/>
      </w:r>
      <w:r>
        <w:rPr>
          <w:rStyle w:val="19"/>
          <w:rFonts w:ascii="Book Antiqua" w:hAnsi="Book Antiqua"/>
          <w:b/>
          <w:sz w:val="22"/>
          <w:szCs w:val="22"/>
        </w:rPr>
        <w:t>/compras</w:t>
      </w:r>
      <w:r>
        <w:rPr>
          <w:rFonts w:ascii="Book Antiqua" w:hAnsi="Book Antiqua"/>
          <w:sz w:val="22"/>
          <w:szCs w:val="22"/>
        </w:rPr>
        <w:t>, onde permanecerão disponíveis todos os atos, avisos e demais documentos relativos às fases da licitação, bem como disponibilizados para consulta, integralmente, o instrumento convocatório e seus elementos para leitura e retirada, propostas e Atas dele provenientes.</w:t>
      </w:r>
    </w:p>
    <w:p>
      <w:pPr>
        <w:pStyle w:val="83"/>
        <w:keepNext w:val="0"/>
        <w:keepLines w:val="0"/>
        <w:pageBreakBefore w:val="0"/>
        <w:widowControl w:val="0"/>
        <w:numPr>
          <w:ilvl w:val="2"/>
          <w:numId w:val="5"/>
        </w:numPr>
        <w:kinsoku/>
        <w:wordWrap/>
        <w:overflowPunct/>
        <w:topLinePunct w:val="0"/>
        <w:autoSpaceDE/>
        <w:autoSpaceDN/>
        <w:bidi w:val="0"/>
        <w:adjustRightInd/>
        <w:snapToGrid/>
        <w:spacing w:after="120"/>
        <w:ind w:left="0" w:firstLine="0"/>
        <w:contextualSpacing w:val="0"/>
        <w:jc w:val="both"/>
        <w:textAlignment w:val="auto"/>
        <w:rPr>
          <w:rFonts w:ascii="Book Antiqua" w:hAnsi="Book Antiqua"/>
          <w:color w:val="000000"/>
          <w:sz w:val="22"/>
          <w:szCs w:val="22"/>
        </w:rPr>
      </w:pPr>
      <w:r>
        <w:rPr>
          <w:rFonts w:ascii="Book Antiqua" w:hAnsi="Book Antiqua"/>
          <w:sz w:val="22"/>
          <w:szCs w:val="22"/>
        </w:rPr>
        <w:t xml:space="preserve">A Secretaria de Logística e Tecnologia da Informação – SLTI do Ministério do Planejamento, Orçamento e Gestão atua como Órgão provedor do Sistema Eletrônico, cedido para uso através de Termo de Adesão ao Sistema de Serviços Gerais – SISG, conforme estabelecido no artigo 9º a 11º do Decreto Federal nº 10.024/2019. </w:t>
      </w:r>
    </w:p>
    <w:p>
      <w:pPr>
        <w:pStyle w:val="83"/>
        <w:keepNext w:val="0"/>
        <w:keepLines w:val="0"/>
        <w:pageBreakBefore w:val="0"/>
        <w:widowControl w:val="0"/>
        <w:numPr>
          <w:ilvl w:val="2"/>
          <w:numId w:val="5"/>
        </w:numPr>
        <w:kinsoku/>
        <w:wordWrap/>
        <w:overflowPunct/>
        <w:topLinePunct w:val="0"/>
        <w:autoSpaceDE/>
        <w:autoSpaceDN/>
        <w:bidi w:val="0"/>
        <w:adjustRightInd/>
        <w:snapToGrid/>
        <w:spacing w:after="120"/>
        <w:ind w:left="0" w:firstLine="0"/>
        <w:contextualSpacing w:val="0"/>
        <w:jc w:val="both"/>
        <w:textAlignment w:val="auto"/>
        <w:rPr>
          <w:rFonts w:ascii="Book Antiqua" w:hAnsi="Book Antiqua"/>
          <w:color w:val="000000"/>
          <w:sz w:val="22"/>
          <w:szCs w:val="22"/>
        </w:rPr>
      </w:pPr>
      <w:r>
        <w:rPr>
          <w:rFonts w:ascii="Book Antiqua" w:hAnsi="Book Antiqua"/>
          <w:sz w:val="22"/>
          <w:szCs w:val="22"/>
        </w:rPr>
        <w:t xml:space="preserve">Sempre será admitido que o presente Edital e seus anexos tenham sido cuidadosamente examinados pelas Licitantes, não se isentando do fiel cumprimento de seu conteúdo, após a apresentação da proposta, devido à omissão ou negligência oriunda de alegação de desconhecimento, discordância de seus termos ou interpretação equivocada de quaisquer de seus itens, já que oportunizado o prévio esclarecimento, conforme disposto no </w:t>
      </w:r>
      <w:r>
        <w:rPr>
          <w:rFonts w:ascii="Book Antiqua" w:hAnsi="Book Antiqua"/>
          <w:b/>
          <w:sz w:val="22"/>
          <w:szCs w:val="22"/>
        </w:rPr>
        <w:t>item 4</w:t>
      </w:r>
      <w:r>
        <w:rPr>
          <w:rFonts w:ascii="Book Antiqua" w:hAnsi="Book Antiqua"/>
          <w:sz w:val="22"/>
          <w:szCs w:val="22"/>
        </w:rPr>
        <w:t xml:space="preserve"> deste Edital.</w:t>
      </w:r>
    </w:p>
    <w:p>
      <w:pPr>
        <w:pStyle w:val="83"/>
        <w:keepNext w:val="0"/>
        <w:keepLines w:val="0"/>
        <w:pageBreakBefore w:val="0"/>
        <w:widowControl w:val="0"/>
        <w:numPr>
          <w:ilvl w:val="2"/>
          <w:numId w:val="5"/>
        </w:numPr>
        <w:kinsoku/>
        <w:wordWrap/>
        <w:overflowPunct/>
        <w:topLinePunct w:val="0"/>
        <w:autoSpaceDE/>
        <w:autoSpaceDN/>
        <w:bidi w:val="0"/>
        <w:adjustRightInd/>
        <w:snapToGrid/>
        <w:spacing w:after="120"/>
        <w:ind w:left="0" w:firstLine="0"/>
        <w:contextualSpacing w:val="0"/>
        <w:jc w:val="both"/>
        <w:textAlignment w:val="auto"/>
        <w:rPr>
          <w:rFonts w:ascii="Book Antiqua" w:hAnsi="Book Antiqua"/>
          <w:color w:val="000000"/>
          <w:sz w:val="22"/>
          <w:szCs w:val="22"/>
        </w:rPr>
      </w:pPr>
      <w:r>
        <w:rPr>
          <w:rFonts w:ascii="Book Antiqua" w:hAnsi="Book Antiqua"/>
          <w:sz w:val="22"/>
          <w:szCs w:val="22"/>
        </w:rPr>
        <w:t>Não havendo expediente ou ocorrendo qualquer fato superveniente que impeça a abertura do certame na data marcada, a sessão será automaticamente transferida para o primeiro dia útil subsequente, no mesmo horário e local estabelecidos no preâmbulo deste Edital, desde que não haja comunicação do Pregoeiro em contrário.</w:t>
      </w:r>
    </w:p>
    <w:p>
      <w:pPr>
        <w:pStyle w:val="83"/>
        <w:widowControl w:val="0"/>
        <w:numPr>
          <w:ilvl w:val="0"/>
          <w:numId w:val="5"/>
        </w:numPr>
        <w:pBdr>
          <w:top w:val="single" w:color="auto" w:sz="4" w:space="1"/>
          <w:left w:val="single" w:color="auto" w:sz="4" w:space="4"/>
          <w:bottom w:val="single" w:color="auto" w:sz="4" w:space="1"/>
          <w:right w:val="single" w:color="auto" w:sz="4" w:space="4"/>
        </w:pBdr>
        <w:shd w:val="clear" w:color="auto" w:fill="D8D8D8" w:themeFill="background1" w:themeFillShade="D9"/>
        <w:spacing w:after="120"/>
        <w:contextualSpacing w:val="0"/>
        <w:jc w:val="both"/>
        <w:rPr>
          <w:rFonts w:ascii="Book Antiqua" w:hAnsi="Book Antiqua"/>
          <w:b/>
          <w:bCs/>
          <w:color w:val="0000FF"/>
          <w:sz w:val="22"/>
          <w:szCs w:val="22"/>
        </w:rPr>
      </w:pPr>
      <w:r>
        <w:rPr>
          <w:rFonts w:ascii="Book Antiqua" w:hAnsi="Book Antiqua"/>
          <w:b/>
          <w:color w:val="0000FF"/>
          <w:sz w:val="22"/>
          <w:szCs w:val="22"/>
        </w:rPr>
        <w:t>DAS DISPOSIÇÕES DO OBJETO</w:t>
      </w:r>
    </w:p>
    <w:p>
      <w:pPr>
        <w:keepNext w:val="0"/>
        <w:keepLines w:val="0"/>
        <w:pageBreakBefore w:val="0"/>
        <w:widowControl/>
        <w:numPr>
          <w:ilvl w:val="1"/>
          <w:numId w:val="5"/>
        </w:numPr>
        <w:suppressLineNumbers w:val="0"/>
        <w:kinsoku/>
        <w:wordWrap/>
        <w:overflowPunct/>
        <w:topLinePunct w:val="0"/>
        <w:autoSpaceDE/>
        <w:autoSpaceDN/>
        <w:bidi w:val="0"/>
        <w:adjustRightInd/>
        <w:snapToGrid/>
        <w:spacing w:after="121" w:afterLines="40"/>
        <w:ind w:left="0" w:leftChars="0" w:firstLine="0" w:firstLineChars="0"/>
        <w:jc w:val="both"/>
        <w:textAlignment w:val="auto"/>
        <w:rPr>
          <w:rFonts w:hint="default" w:ascii="Book Antiqua" w:hAnsi="Book Antiqua" w:cs="Book Antiqua"/>
          <w:i w:val="0"/>
          <w:iCs/>
          <w:sz w:val="10"/>
          <w:szCs w:val="10"/>
        </w:rPr>
      </w:pPr>
      <w:r>
        <w:rPr>
          <w:rFonts w:hint="default" w:ascii="Book Antiqua" w:hAnsi="Book Antiqua" w:cs="Book Antiqua"/>
          <w:b/>
          <w:bCs/>
          <w:sz w:val="22"/>
          <w:szCs w:val="22"/>
        </w:rPr>
        <w:t>DO OBJETO:</w:t>
      </w:r>
      <w:r>
        <w:rPr>
          <w:rFonts w:hint="default" w:ascii="Book Antiqua" w:hAnsi="Book Antiqua" w:cs="Book Antiqua"/>
          <w:sz w:val="22"/>
          <w:szCs w:val="22"/>
        </w:rPr>
        <w:t xml:space="preserve"> </w:t>
      </w:r>
      <w:bookmarkStart w:id="0" w:name="_Hlk47537848"/>
      <w:r>
        <w:rPr>
          <w:rFonts w:hint="default" w:ascii="Book Antiqua" w:hAnsi="Book Antiqua" w:cs="Book Antiqua"/>
          <w:sz w:val="22"/>
          <w:szCs w:val="22"/>
        </w:rPr>
        <w:t xml:space="preserve"> </w:t>
      </w:r>
      <w:bookmarkEnd w:id="0"/>
      <w:r>
        <w:rPr>
          <w:rFonts w:hint="default" w:ascii="Book Antiqua" w:hAnsi="Book Antiqua" w:eastAsia="Arial-BoldMT" w:cs="Book Antiqua"/>
          <w:b/>
          <w:bCs/>
          <w:color w:val="000000"/>
          <w:kern w:val="0"/>
          <w:sz w:val="22"/>
          <w:szCs w:val="22"/>
          <w:lang w:val="en-US" w:eastAsia="zh-CN" w:bidi="ar"/>
        </w:rPr>
        <w:t>CONTRATAÇÃO DE EMPRESA ESPECIALIZADA NA PRESTAÇÃO DE SERVIÇOS DE SEGURO TOTAL PARA VEÍCULOS LEVES E PESADOS</w:t>
      </w:r>
      <w:r>
        <w:rPr>
          <w:rFonts w:hint="default" w:ascii="Book Antiqua" w:hAnsi="Book Antiqua" w:eastAsia="SimSun" w:cs="Book Antiqua"/>
          <w:color w:val="000000"/>
          <w:kern w:val="0"/>
          <w:sz w:val="22"/>
          <w:szCs w:val="22"/>
          <w:lang w:val="en-US" w:eastAsia="zh-CN" w:bidi="ar"/>
        </w:rPr>
        <w:t>, na modalidade total por valor de mercado referenciado (cem por cento da tabela FIPE), visando atender a esta Secretaria Municipal de Desenvolvimento Social - SEMDES.</w:t>
      </w:r>
      <w:r>
        <w:rPr>
          <w:rFonts w:hint="default" w:ascii="Arial" w:hAnsi="Arial" w:eastAsia="SimSun" w:cs="Arial"/>
          <w:color w:val="000000"/>
          <w:kern w:val="0"/>
          <w:sz w:val="22"/>
          <w:szCs w:val="22"/>
          <w:lang w:val="en-US" w:eastAsia="zh-CN" w:bidi="ar"/>
        </w:rPr>
        <w:t xml:space="preserve"> </w:t>
      </w:r>
      <w:r>
        <w:rPr>
          <w:rFonts w:hint="default" w:ascii="Book Antiqua" w:hAnsi="Book Antiqua" w:eastAsia="SimSun" w:cs="Book Antiqua"/>
          <w:sz w:val="22"/>
          <w:szCs w:val="22"/>
          <w:lang w:val="pt-BR"/>
        </w:rPr>
        <w:t>C</w:t>
      </w:r>
      <w:r>
        <w:rPr>
          <w:rFonts w:hint="default" w:ascii="Book Antiqua" w:hAnsi="Book Antiqua" w:cs="Book Antiqua"/>
          <w:i w:val="0"/>
          <w:iCs/>
          <w:sz w:val="22"/>
          <w:szCs w:val="22"/>
        </w:rPr>
        <w:t>onforme especificações técnicas e quantidades descritas no Termo de Referência – Anexo I</w:t>
      </w:r>
      <w:r>
        <w:rPr>
          <w:rFonts w:hint="default" w:ascii="Book Antiqua" w:hAnsi="Book Antiqua" w:cs="Book Antiqua"/>
          <w:i w:val="0"/>
          <w:iCs/>
          <w:sz w:val="22"/>
          <w:szCs w:val="22"/>
          <w:lang w:val="pt-BR"/>
        </w:rPr>
        <w:t xml:space="preserve"> deste Edital</w:t>
      </w:r>
      <w:r>
        <w:rPr>
          <w:rFonts w:hint="default" w:ascii="Book Antiqua" w:hAnsi="Book Antiqua" w:cs="Book Antiqua"/>
          <w:i w:val="0"/>
          <w:iCs/>
          <w:sz w:val="22"/>
          <w:szCs w:val="22"/>
        </w:rPr>
        <w:t>.</w:t>
      </w:r>
    </w:p>
    <w:tbl>
      <w:tblPr>
        <w:tblStyle w:val="12"/>
        <w:tblW w:w="10118" w:type="dxa"/>
        <w:jc w:val="center"/>
        <w:tblLayout w:type="fixed"/>
        <w:tblCellMar>
          <w:top w:w="0" w:type="dxa"/>
          <w:left w:w="70" w:type="dxa"/>
          <w:bottom w:w="0" w:type="dxa"/>
          <w:right w:w="70" w:type="dxa"/>
        </w:tblCellMar>
      </w:tblPr>
      <w:tblGrid>
        <w:gridCol w:w="756"/>
        <w:gridCol w:w="972"/>
        <w:gridCol w:w="813"/>
        <w:gridCol w:w="5849"/>
        <w:gridCol w:w="1728"/>
      </w:tblGrid>
      <w:tr>
        <w:tblPrEx>
          <w:tblCellMar>
            <w:top w:w="0" w:type="dxa"/>
            <w:left w:w="70" w:type="dxa"/>
            <w:bottom w:w="0" w:type="dxa"/>
            <w:right w:w="70" w:type="dxa"/>
          </w:tblCellMar>
        </w:tblPrEx>
        <w:trPr>
          <w:trHeight w:val="400" w:hRule="atLeast"/>
          <w:jc w:val="center"/>
        </w:trPr>
        <w:tc>
          <w:tcPr>
            <w:tcW w:w="756" w:type="dxa"/>
            <w:tcBorders>
              <w:top w:val="single" w:color="000000" w:sz="4" w:space="0"/>
              <w:left w:val="single" w:color="000000" w:sz="4" w:space="0"/>
              <w:bottom w:val="single" w:color="auto" w:sz="4" w:space="0"/>
              <w:right w:val="nil"/>
            </w:tcBorders>
            <w:shd w:val="clear" w:color="auto" w:fill="D8D8D8"/>
            <w:vAlign w:val="center"/>
          </w:tcPr>
          <w:p>
            <w:pPr>
              <w:spacing w:after="120" w:afterLines="50"/>
              <w:jc w:val="center"/>
              <w:rPr>
                <w:rFonts w:ascii="Book Antiqua" w:hAnsi="Book Antiqua" w:cs="Arial"/>
                <w:sz w:val="18"/>
                <w:szCs w:val="18"/>
              </w:rPr>
            </w:pPr>
            <w:r>
              <w:rPr>
                <w:rFonts w:ascii="Book Antiqua" w:hAnsi="Book Antiqua" w:cs="Arial"/>
                <w:b/>
                <w:bCs/>
                <w:color w:val="000000"/>
                <w:sz w:val="18"/>
                <w:szCs w:val="18"/>
              </w:rPr>
              <w:t>ITEM</w:t>
            </w:r>
          </w:p>
        </w:tc>
        <w:tc>
          <w:tcPr>
            <w:tcW w:w="972" w:type="dxa"/>
            <w:tcBorders>
              <w:top w:val="single" w:color="000000" w:sz="4" w:space="0"/>
              <w:left w:val="single" w:color="000000" w:sz="4" w:space="0"/>
              <w:bottom w:val="single" w:color="auto" w:sz="4" w:space="0"/>
              <w:right w:val="nil"/>
            </w:tcBorders>
            <w:shd w:val="clear" w:color="auto" w:fill="D8D8D8"/>
            <w:vAlign w:val="center"/>
          </w:tcPr>
          <w:p>
            <w:pPr>
              <w:spacing w:after="120" w:afterLines="50"/>
              <w:jc w:val="center"/>
              <w:rPr>
                <w:rFonts w:ascii="Book Antiqua" w:hAnsi="Book Antiqua" w:cs="Arial"/>
                <w:sz w:val="18"/>
                <w:szCs w:val="18"/>
              </w:rPr>
            </w:pPr>
            <w:r>
              <w:rPr>
                <w:rFonts w:ascii="Book Antiqua" w:hAnsi="Book Antiqua" w:cs="Arial"/>
                <w:b/>
                <w:bCs/>
                <w:color w:val="000000"/>
                <w:sz w:val="18"/>
                <w:szCs w:val="18"/>
              </w:rPr>
              <w:t>QNT.</w:t>
            </w:r>
          </w:p>
        </w:tc>
        <w:tc>
          <w:tcPr>
            <w:tcW w:w="813" w:type="dxa"/>
            <w:tcBorders>
              <w:top w:val="single" w:color="000000" w:sz="4" w:space="0"/>
              <w:left w:val="single" w:color="000000" w:sz="4" w:space="0"/>
              <w:bottom w:val="single" w:color="auto" w:sz="4" w:space="0"/>
              <w:right w:val="nil"/>
            </w:tcBorders>
            <w:shd w:val="clear" w:color="auto" w:fill="D8D8D8"/>
            <w:vAlign w:val="center"/>
          </w:tcPr>
          <w:p>
            <w:pPr>
              <w:spacing w:after="120" w:afterLines="50"/>
              <w:jc w:val="center"/>
              <w:rPr>
                <w:rFonts w:ascii="Book Antiqua" w:hAnsi="Book Antiqua" w:cs="Arial"/>
                <w:sz w:val="18"/>
                <w:szCs w:val="18"/>
              </w:rPr>
            </w:pPr>
            <w:r>
              <w:rPr>
                <w:rFonts w:ascii="Book Antiqua" w:hAnsi="Book Antiqua" w:cs="Arial"/>
                <w:b/>
                <w:bCs/>
                <w:color w:val="000000"/>
                <w:sz w:val="16"/>
                <w:szCs w:val="16"/>
              </w:rPr>
              <w:t>UND.</w:t>
            </w:r>
          </w:p>
        </w:tc>
        <w:tc>
          <w:tcPr>
            <w:tcW w:w="5849" w:type="dxa"/>
            <w:tcBorders>
              <w:top w:val="single" w:color="000000" w:sz="4" w:space="0"/>
              <w:left w:val="single" w:color="000000" w:sz="4" w:space="0"/>
              <w:bottom w:val="single" w:color="auto" w:sz="4" w:space="0"/>
              <w:right w:val="single" w:color="000000" w:sz="4" w:space="0"/>
            </w:tcBorders>
            <w:shd w:val="clear" w:color="auto" w:fill="D8D8D8"/>
            <w:vAlign w:val="center"/>
          </w:tcPr>
          <w:p>
            <w:pPr>
              <w:spacing w:after="120" w:afterLines="50"/>
              <w:jc w:val="center"/>
              <w:rPr>
                <w:rFonts w:ascii="Book Antiqua" w:hAnsi="Book Antiqua" w:cs="Arial"/>
                <w:b/>
                <w:bCs/>
                <w:color w:val="000000"/>
                <w:sz w:val="14"/>
                <w:szCs w:val="14"/>
              </w:rPr>
            </w:pPr>
            <w:r>
              <w:rPr>
                <w:rFonts w:ascii="Book Antiqua" w:hAnsi="Book Antiqua" w:cs="Arial"/>
                <w:b/>
                <w:bCs/>
                <w:color w:val="000000"/>
                <w:sz w:val="18"/>
                <w:szCs w:val="18"/>
              </w:rPr>
              <w:t>DESCRIÇÃO DO OBJETO</w:t>
            </w:r>
          </w:p>
        </w:tc>
        <w:tc>
          <w:tcPr>
            <w:tcW w:w="1728" w:type="dxa"/>
            <w:tcBorders>
              <w:top w:val="single" w:color="000000" w:sz="4" w:space="0"/>
              <w:left w:val="single" w:color="000000" w:sz="4" w:space="0"/>
              <w:bottom w:val="single" w:color="auto" w:sz="4" w:space="0"/>
              <w:right w:val="single" w:color="000000" w:sz="4" w:space="0"/>
            </w:tcBorders>
            <w:shd w:val="clear" w:color="auto" w:fill="D8D8D8"/>
            <w:vAlign w:val="center"/>
          </w:tcPr>
          <w:p>
            <w:pPr>
              <w:spacing w:after="120" w:afterLines="50"/>
              <w:jc w:val="center"/>
              <w:rPr>
                <w:rFonts w:hint="default" w:ascii="Book Antiqua" w:hAnsi="Book Antiqua" w:cs="Arial"/>
                <w:b/>
                <w:bCs/>
                <w:color w:val="000000"/>
                <w:sz w:val="18"/>
                <w:szCs w:val="18"/>
                <w:lang w:val="pt-BR"/>
              </w:rPr>
            </w:pPr>
            <w:r>
              <w:rPr>
                <w:rFonts w:hint="default" w:ascii="Book Antiqua" w:hAnsi="Book Antiqua" w:cs="Arial"/>
                <w:b/>
                <w:bCs/>
                <w:color w:val="000000"/>
                <w:sz w:val="18"/>
                <w:szCs w:val="18"/>
                <w:lang w:val="pt-BR"/>
              </w:rPr>
              <w:t>VALOR TOTAL ESTIMADO</w:t>
            </w:r>
          </w:p>
        </w:tc>
      </w:tr>
      <w:tr>
        <w:tblPrEx>
          <w:tblCellMar>
            <w:top w:w="0" w:type="dxa"/>
            <w:left w:w="70" w:type="dxa"/>
            <w:bottom w:w="0" w:type="dxa"/>
            <w:right w:w="70" w:type="dxa"/>
          </w:tblCellMar>
        </w:tblPrEx>
        <w:trPr>
          <w:trHeight w:val="228" w:hRule="atLeast"/>
          <w:jc w:val="center"/>
        </w:trPr>
        <w:tc>
          <w:tcPr>
            <w:tcW w:w="756" w:type="dxa"/>
            <w:tcBorders>
              <w:top w:val="single" w:color="auto" w:sz="4" w:space="0"/>
              <w:left w:val="single" w:color="auto" w:sz="4" w:space="0"/>
              <w:bottom w:val="single" w:color="auto" w:sz="4" w:space="0"/>
              <w:right w:val="single" w:color="auto" w:sz="4" w:space="0"/>
            </w:tcBorders>
            <w:vAlign w:val="center"/>
          </w:tcPr>
          <w:p>
            <w:pPr>
              <w:tabs>
                <w:tab w:val="left" w:pos="928"/>
              </w:tabs>
              <w:suppressAutoHyphens/>
              <w:spacing w:after="120" w:afterLines="50"/>
              <w:jc w:val="center"/>
              <w:rPr>
                <w:rFonts w:ascii="Book Antiqua" w:hAnsi="Book Antiqua" w:cs="Arial"/>
                <w:color w:val="000000"/>
                <w:lang w:eastAsia="en-US"/>
              </w:rPr>
            </w:pPr>
            <w:r>
              <w:rPr>
                <w:rFonts w:ascii="Book Antiqua" w:hAnsi="Book Antiqua" w:cs="Arial"/>
                <w:color w:val="000000"/>
                <w:lang w:eastAsia="en-US"/>
              </w:rPr>
              <w:t>1</w:t>
            </w:r>
          </w:p>
        </w:tc>
        <w:tc>
          <w:tcPr>
            <w:tcW w:w="972" w:type="dxa"/>
            <w:tcBorders>
              <w:top w:val="single" w:color="auto" w:sz="4" w:space="0"/>
              <w:left w:val="single" w:color="auto" w:sz="4" w:space="0"/>
              <w:bottom w:val="single" w:color="auto" w:sz="4" w:space="0"/>
              <w:right w:val="single" w:color="auto" w:sz="4" w:space="0"/>
            </w:tcBorders>
            <w:vAlign w:val="center"/>
          </w:tcPr>
          <w:p>
            <w:pPr>
              <w:spacing w:after="120" w:afterLines="50"/>
              <w:jc w:val="center"/>
              <w:rPr>
                <w:rFonts w:ascii="Book Antiqua" w:hAnsi="Book Antiqua" w:cs="Arial"/>
                <w:b/>
                <w:bCs/>
                <w:sz w:val="24"/>
                <w:szCs w:val="24"/>
                <w:lang w:eastAsia="zh-CN"/>
              </w:rPr>
            </w:pPr>
            <w:r>
              <w:rPr>
                <w:rFonts w:ascii="Book Antiqua" w:hAnsi="Book Antiqua" w:cs="Arial"/>
                <w:b/>
                <w:bCs/>
                <w:sz w:val="24"/>
                <w:szCs w:val="24"/>
                <w:lang w:eastAsia="zh-CN"/>
              </w:rPr>
              <w:t>01</w:t>
            </w:r>
          </w:p>
        </w:tc>
        <w:tc>
          <w:tcPr>
            <w:tcW w:w="813" w:type="dxa"/>
            <w:tcBorders>
              <w:top w:val="single" w:color="auto" w:sz="4" w:space="0"/>
              <w:left w:val="single" w:color="auto" w:sz="4" w:space="0"/>
              <w:bottom w:val="single" w:color="auto" w:sz="4" w:space="0"/>
              <w:right w:val="single" w:color="auto" w:sz="4" w:space="0"/>
            </w:tcBorders>
            <w:shd w:val="clear" w:color="auto" w:fill="FFFFFF"/>
            <w:vAlign w:val="center"/>
          </w:tcPr>
          <w:p>
            <w:pPr>
              <w:spacing w:after="120" w:afterLines="50"/>
              <w:jc w:val="center"/>
              <w:rPr>
                <w:rFonts w:ascii="Book Antiqua" w:hAnsi="Book Antiqua" w:cs="Arial"/>
                <w:sz w:val="17"/>
                <w:szCs w:val="17"/>
              </w:rPr>
            </w:pPr>
            <w:r>
              <w:rPr>
                <w:rFonts w:ascii="Book Antiqua" w:hAnsi="Book Antiqua" w:cs="Arial"/>
                <w:sz w:val="20"/>
                <w:szCs w:val="20"/>
              </w:rPr>
              <w:t>Serv.</w:t>
            </w:r>
          </w:p>
        </w:tc>
        <w:tc>
          <w:tcPr>
            <w:tcW w:w="5849"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both"/>
              <w:rPr>
                <w:rFonts w:hint="default" w:ascii="Book Antiqua" w:hAnsi="Book Antiqua" w:eastAsia="SimSun" w:cs="Book Antiqua"/>
                <w:b/>
                <w:bCs/>
                <w:color w:val="000000"/>
                <w:kern w:val="0"/>
                <w:sz w:val="20"/>
                <w:szCs w:val="20"/>
                <w:lang w:val="en-US" w:eastAsia="zh-CN" w:bidi="ar"/>
              </w:rPr>
            </w:pPr>
            <w:r>
              <w:rPr>
                <w:rFonts w:hint="default" w:ascii="Book Antiqua" w:hAnsi="Book Antiqua" w:eastAsia="SimSun" w:cs="Book Antiqua"/>
                <w:b/>
                <w:bCs/>
                <w:color w:val="000000"/>
                <w:kern w:val="0"/>
                <w:sz w:val="20"/>
                <w:szCs w:val="20"/>
                <w:lang w:val="en-US" w:eastAsia="zh-CN" w:bidi="ar"/>
              </w:rPr>
              <w:t xml:space="preserve">PRESTAÇÃO DE SERVIÇO DE SEGURO AUTOMOTIVO - CHEVROLET SPIN 1.8 MT/LT </w:t>
            </w:r>
          </w:p>
          <w:p>
            <w:pPr>
              <w:keepNext w:val="0"/>
              <w:keepLines w:val="0"/>
              <w:widowControl/>
              <w:suppressLineNumbers w:val="0"/>
              <w:jc w:val="both"/>
              <w:rPr>
                <w:rFonts w:hint="default" w:ascii="Book Antiqua" w:hAnsi="Book Antiqua" w:eastAsia="SimSun" w:cs="Book Antiqua"/>
                <w:color w:val="000000"/>
                <w:kern w:val="0"/>
                <w:sz w:val="20"/>
                <w:szCs w:val="20"/>
                <w:lang w:val="en-US" w:eastAsia="zh-CN" w:bidi="ar"/>
              </w:rPr>
            </w:pPr>
            <w:r>
              <w:rPr>
                <w:rFonts w:hint="default" w:ascii="Book Antiqua" w:hAnsi="Book Antiqua" w:eastAsia="SimSun" w:cs="Book Antiqua"/>
                <w:color w:val="000000"/>
                <w:kern w:val="0"/>
                <w:sz w:val="20"/>
                <w:szCs w:val="20"/>
                <w:lang w:val="en-US" w:eastAsia="zh-CN" w:bidi="ar"/>
              </w:rPr>
              <w:t xml:space="preserve">PRESTAÇÃO DE SERVIÇO DE SEGURO AUTOMOTIVO NA MODALIDADE TOTAL POR VALOR DE MERCADO REFERENCIADO (CEM POR CENTO DA TABELA FIPE). </w:t>
            </w:r>
          </w:p>
          <w:p>
            <w:pPr>
              <w:keepNext w:val="0"/>
              <w:keepLines w:val="0"/>
              <w:widowControl/>
              <w:suppressLineNumbers w:val="0"/>
              <w:jc w:val="both"/>
              <w:rPr>
                <w:rFonts w:hint="default" w:ascii="Book Antiqua" w:hAnsi="Book Antiqua" w:eastAsia="SimSun" w:cs="Book Antiqua"/>
                <w:color w:val="000000"/>
                <w:kern w:val="0"/>
                <w:sz w:val="20"/>
                <w:szCs w:val="20"/>
                <w:lang w:val="en-US" w:eastAsia="zh-CN" w:bidi="ar"/>
              </w:rPr>
            </w:pPr>
            <w:r>
              <w:rPr>
                <w:rFonts w:hint="default" w:ascii="Book Antiqua" w:hAnsi="Book Antiqua" w:eastAsia="SimSun" w:cs="Book Antiqua"/>
                <w:color w:val="000000"/>
                <w:kern w:val="0"/>
                <w:sz w:val="20"/>
                <w:szCs w:val="20"/>
                <w:lang w:val="en-US" w:eastAsia="zh-CN" w:bidi="ar"/>
              </w:rPr>
              <w:t xml:space="preserve">CHEVROLET SPIN 1.8 MT/LT </w:t>
            </w:r>
          </w:p>
          <w:p>
            <w:pPr>
              <w:keepNext w:val="0"/>
              <w:keepLines w:val="0"/>
              <w:widowControl/>
              <w:suppressLineNumbers w:val="0"/>
              <w:jc w:val="both"/>
              <w:rPr>
                <w:rFonts w:hint="default" w:ascii="Book Antiqua" w:hAnsi="Book Antiqua" w:eastAsia="SimSun" w:cs="Book Antiqua"/>
                <w:color w:val="000000"/>
                <w:kern w:val="0"/>
                <w:sz w:val="20"/>
                <w:szCs w:val="20"/>
                <w:lang w:val="en-US" w:eastAsia="zh-CN" w:bidi="ar"/>
              </w:rPr>
            </w:pPr>
            <w:r>
              <w:rPr>
                <w:rFonts w:hint="default" w:ascii="Book Antiqua" w:hAnsi="Book Antiqua" w:eastAsia="SimSun" w:cs="Book Antiqua"/>
                <w:color w:val="000000"/>
                <w:kern w:val="0"/>
                <w:sz w:val="20"/>
                <w:szCs w:val="20"/>
                <w:lang w:val="en-US" w:eastAsia="zh-CN" w:bidi="ar"/>
              </w:rPr>
              <w:t xml:space="preserve">PLACA: QTD-6C17 </w:t>
            </w:r>
          </w:p>
          <w:p>
            <w:pPr>
              <w:keepNext w:val="0"/>
              <w:keepLines w:val="0"/>
              <w:widowControl/>
              <w:suppressLineNumbers w:val="0"/>
              <w:jc w:val="both"/>
              <w:rPr>
                <w:rFonts w:hint="default" w:ascii="Book Antiqua" w:hAnsi="Book Antiqua" w:eastAsia="SimSun" w:cs="Book Antiqua"/>
                <w:color w:val="000000"/>
                <w:kern w:val="0"/>
                <w:sz w:val="20"/>
                <w:szCs w:val="20"/>
                <w:lang w:val="en-US" w:eastAsia="zh-CN" w:bidi="ar"/>
              </w:rPr>
            </w:pPr>
            <w:r>
              <w:rPr>
                <w:rFonts w:hint="default" w:ascii="Book Antiqua" w:hAnsi="Book Antiqua" w:eastAsia="SimSun" w:cs="Book Antiqua"/>
                <w:color w:val="000000"/>
                <w:kern w:val="0"/>
                <w:sz w:val="20"/>
                <w:szCs w:val="20"/>
                <w:lang w:val="en-US" w:eastAsia="zh-CN" w:bidi="ar"/>
              </w:rPr>
              <w:t xml:space="preserve">RENAVAM: 1234831195 </w:t>
            </w:r>
          </w:p>
          <w:p>
            <w:pPr>
              <w:keepNext w:val="0"/>
              <w:keepLines w:val="0"/>
              <w:widowControl/>
              <w:suppressLineNumbers w:val="0"/>
              <w:jc w:val="both"/>
              <w:rPr>
                <w:rFonts w:hint="default" w:ascii="Book Antiqua" w:hAnsi="Book Antiqua" w:eastAsia="SimSun" w:cs="Book Antiqua"/>
                <w:color w:val="000000"/>
                <w:kern w:val="0"/>
                <w:sz w:val="20"/>
                <w:szCs w:val="20"/>
                <w:lang w:val="en-US" w:eastAsia="zh-CN" w:bidi="ar"/>
              </w:rPr>
            </w:pPr>
            <w:r>
              <w:rPr>
                <w:rFonts w:hint="default" w:ascii="Book Antiqua" w:hAnsi="Book Antiqua" w:eastAsia="SimSun" w:cs="Book Antiqua"/>
                <w:color w:val="000000"/>
                <w:kern w:val="0"/>
                <w:sz w:val="20"/>
                <w:szCs w:val="20"/>
                <w:lang w:val="en-US" w:eastAsia="zh-CN" w:bidi="ar"/>
              </w:rPr>
              <w:t xml:space="preserve">CHASSI: 9BGJB7520MB118447 </w:t>
            </w:r>
          </w:p>
          <w:p>
            <w:pPr>
              <w:keepNext w:val="0"/>
              <w:keepLines w:val="0"/>
              <w:widowControl/>
              <w:suppressLineNumbers w:val="0"/>
              <w:jc w:val="both"/>
              <w:rPr>
                <w:rFonts w:hint="default" w:ascii="Book Antiqua" w:hAnsi="Book Antiqua" w:eastAsia="SimSun" w:cs="Book Antiqua"/>
                <w:color w:val="000000"/>
                <w:kern w:val="0"/>
                <w:sz w:val="20"/>
                <w:szCs w:val="20"/>
                <w:lang w:val="en-US" w:eastAsia="zh-CN" w:bidi="ar"/>
              </w:rPr>
            </w:pPr>
            <w:r>
              <w:rPr>
                <w:rFonts w:hint="default" w:ascii="Book Antiqua" w:hAnsi="Book Antiqua" w:eastAsia="SimSun" w:cs="Book Antiqua"/>
                <w:color w:val="000000"/>
                <w:kern w:val="0"/>
                <w:sz w:val="20"/>
                <w:szCs w:val="20"/>
                <w:lang w:val="en-US" w:eastAsia="zh-CN" w:bidi="ar"/>
              </w:rPr>
              <w:t xml:space="preserve">ANO/MODELO: 2020/2020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 xml:space="preserve">COR: BRANCO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 xml:space="preserve">COMBUSTÍVEL: ÁLCOOL/GASOLINA </w:t>
            </w:r>
          </w:p>
          <w:p>
            <w:pPr>
              <w:keepNext w:val="0"/>
              <w:keepLines w:val="0"/>
              <w:widowControl/>
              <w:suppressLineNumbers w:val="0"/>
              <w:jc w:val="both"/>
              <w:rPr>
                <w:rFonts w:hint="default" w:ascii="Book Antiqua" w:hAnsi="Book Antiqua" w:eastAsia="SimSun" w:cs="Book Antiqua"/>
                <w:color w:val="000000"/>
                <w:kern w:val="0"/>
                <w:sz w:val="20"/>
                <w:szCs w:val="20"/>
                <w:lang w:val="en-US" w:eastAsia="zh-CN" w:bidi="ar"/>
              </w:rPr>
            </w:pPr>
            <w:r>
              <w:rPr>
                <w:rFonts w:hint="default" w:ascii="Book Antiqua" w:hAnsi="Book Antiqua" w:eastAsia="SimSun" w:cs="Book Antiqua"/>
                <w:color w:val="000000"/>
                <w:kern w:val="0"/>
                <w:sz w:val="20"/>
                <w:szCs w:val="20"/>
                <w:lang w:val="en-US" w:eastAsia="zh-CN" w:bidi="ar"/>
              </w:rPr>
              <w:t xml:space="preserve">TOMBAMENTO: 96581 </w:t>
            </w:r>
          </w:p>
          <w:p>
            <w:pPr>
              <w:keepNext w:val="0"/>
              <w:keepLines w:val="0"/>
              <w:widowControl/>
              <w:suppressLineNumbers w:val="0"/>
              <w:jc w:val="both"/>
              <w:rPr>
                <w:rFonts w:hint="default" w:ascii="Book Antiqua" w:hAnsi="Book Antiqua" w:eastAsia="SimSun" w:cs="Book Antiqua"/>
                <w:sz w:val="22"/>
                <w:szCs w:val="22"/>
              </w:rPr>
            </w:pPr>
            <w:r>
              <w:rPr>
                <w:rFonts w:hint="default" w:ascii="Book Antiqua" w:hAnsi="Book Antiqua" w:eastAsia="SimSun" w:cs="Book Antiqua"/>
                <w:color w:val="000000"/>
                <w:kern w:val="0"/>
                <w:sz w:val="20"/>
                <w:szCs w:val="20"/>
                <w:lang w:val="en-US" w:eastAsia="zh-CN" w:bidi="ar"/>
              </w:rPr>
              <w:t xml:space="preserve">VALOR TOTAL PARA O PERÍODO DE 12 MESES. </w:t>
            </w:r>
          </w:p>
        </w:tc>
        <w:tc>
          <w:tcPr>
            <w:tcW w:w="1728"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numPr>
                <w:ilvl w:val="0"/>
                <w:numId w:val="0"/>
              </w:numPr>
              <w:kinsoku/>
              <w:wordWrap/>
              <w:overflowPunct/>
              <w:topLinePunct w:val="0"/>
              <w:autoSpaceDE/>
              <w:autoSpaceDN/>
              <w:bidi w:val="0"/>
              <w:adjustRightInd/>
              <w:snapToGrid/>
              <w:spacing w:after="150" w:afterLines="50"/>
              <w:ind w:left="0" w:leftChars="0" w:firstLine="0" w:firstLineChars="0"/>
              <w:jc w:val="center"/>
              <w:textAlignment w:val="auto"/>
              <w:rPr>
                <w:rFonts w:hint="default" w:ascii="Book Antiqua" w:hAnsi="Book Antiqua" w:eastAsia="SimSun" w:cs="Book Antiqua"/>
                <w:b/>
                <w:bCs/>
                <w:sz w:val="22"/>
                <w:szCs w:val="22"/>
                <w:lang w:val="pt-BR"/>
              </w:rPr>
            </w:pPr>
            <w:r>
              <w:rPr>
                <w:rFonts w:hint="default" w:ascii="Book Antiqua" w:hAnsi="Book Antiqua" w:eastAsia="SimSun" w:cs="Book Antiqua"/>
                <w:b/>
                <w:bCs/>
                <w:sz w:val="24"/>
                <w:szCs w:val="24"/>
                <w:lang w:val="pt-BR"/>
              </w:rPr>
              <w:t>R$ 2.340,99</w:t>
            </w:r>
          </w:p>
        </w:tc>
      </w:tr>
      <w:tr>
        <w:tblPrEx>
          <w:tblCellMar>
            <w:top w:w="0" w:type="dxa"/>
            <w:left w:w="70" w:type="dxa"/>
            <w:bottom w:w="0" w:type="dxa"/>
            <w:right w:w="70" w:type="dxa"/>
          </w:tblCellMar>
        </w:tblPrEx>
        <w:trPr>
          <w:trHeight w:val="228" w:hRule="atLeast"/>
          <w:jc w:val="center"/>
        </w:trPr>
        <w:tc>
          <w:tcPr>
            <w:tcW w:w="756" w:type="dxa"/>
            <w:tcBorders>
              <w:top w:val="single" w:color="auto" w:sz="4" w:space="0"/>
              <w:left w:val="single" w:color="auto" w:sz="4" w:space="0"/>
              <w:bottom w:val="single" w:color="auto" w:sz="4" w:space="0"/>
              <w:right w:val="single" w:color="auto" w:sz="4" w:space="0"/>
            </w:tcBorders>
            <w:vAlign w:val="center"/>
          </w:tcPr>
          <w:p>
            <w:pPr>
              <w:tabs>
                <w:tab w:val="left" w:pos="928"/>
              </w:tabs>
              <w:suppressAutoHyphens/>
              <w:spacing w:after="120" w:afterLines="50"/>
              <w:jc w:val="center"/>
              <w:rPr>
                <w:rFonts w:hint="default" w:ascii="Book Antiqua" w:hAnsi="Book Antiqua" w:cs="Arial"/>
                <w:color w:val="000000"/>
                <w:lang w:val="pt-BR" w:eastAsia="en-US"/>
              </w:rPr>
            </w:pPr>
            <w:r>
              <w:rPr>
                <w:rFonts w:hint="default" w:ascii="Book Antiqua" w:hAnsi="Book Antiqua" w:cs="Arial"/>
                <w:color w:val="000000"/>
                <w:lang w:val="pt-BR" w:eastAsia="en-US"/>
              </w:rPr>
              <w:t>2</w:t>
            </w:r>
          </w:p>
        </w:tc>
        <w:tc>
          <w:tcPr>
            <w:tcW w:w="972" w:type="dxa"/>
            <w:tcBorders>
              <w:top w:val="single" w:color="auto" w:sz="4" w:space="0"/>
              <w:left w:val="single" w:color="auto" w:sz="4" w:space="0"/>
              <w:bottom w:val="single" w:color="auto" w:sz="4" w:space="0"/>
              <w:right w:val="single" w:color="auto" w:sz="4" w:space="0"/>
            </w:tcBorders>
            <w:vAlign w:val="center"/>
          </w:tcPr>
          <w:p>
            <w:pPr>
              <w:spacing w:after="120" w:afterLines="50"/>
              <w:jc w:val="center"/>
              <w:rPr>
                <w:rFonts w:hint="default" w:ascii="Book Antiqua" w:hAnsi="Book Antiqua" w:cs="Arial"/>
                <w:b/>
                <w:bCs/>
                <w:sz w:val="24"/>
                <w:szCs w:val="24"/>
                <w:lang w:val="pt-BR" w:eastAsia="zh-CN"/>
              </w:rPr>
            </w:pPr>
            <w:r>
              <w:rPr>
                <w:rFonts w:hint="default" w:ascii="Book Antiqua" w:hAnsi="Book Antiqua" w:cs="Arial"/>
                <w:b/>
                <w:bCs/>
                <w:sz w:val="24"/>
                <w:szCs w:val="24"/>
                <w:lang w:val="pt-BR" w:eastAsia="zh-CN"/>
              </w:rPr>
              <w:t>01</w:t>
            </w:r>
          </w:p>
        </w:tc>
        <w:tc>
          <w:tcPr>
            <w:tcW w:w="813" w:type="dxa"/>
            <w:tcBorders>
              <w:top w:val="single" w:color="auto" w:sz="4" w:space="0"/>
              <w:left w:val="single" w:color="auto" w:sz="4" w:space="0"/>
              <w:bottom w:val="single" w:color="auto" w:sz="4" w:space="0"/>
              <w:right w:val="single" w:color="auto" w:sz="4" w:space="0"/>
            </w:tcBorders>
            <w:shd w:val="clear" w:color="auto" w:fill="FFFFFF"/>
            <w:vAlign w:val="center"/>
          </w:tcPr>
          <w:p>
            <w:pPr>
              <w:spacing w:after="120" w:afterLines="50"/>
              <w:jc w:val="center"/>
              <w:rPr>
                <w:rFonts w:ascii="Book Antiqua" w:hAnsi="Book Antiqua" w:cs="Arial"/>
                <w:sz w:val="20"/>
                <w:szCs w:val="20"/>
              </w:rPr>
            </w:pPr>
            <w:r>
              <w:rPr>
                <w:rFonts w:ascii="Book Antiqua" w:hAnsi="Book Antiqua" w:cs="Arial"/>
                <w:sz w:val="20"/>
                <w:szCs w:val="20"/>
              </w:rPr>
              <w:t>Serv.</w:t>
            </w:r>
          </w:p>
        </w:tc>
        <w:tc>
          <w:tcPr>
            <w:tcW w:w="5849"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both"/>
              <w:rPr>
                <w:rFonts w:hint="default" w:ascii="Book Antiqua" w:hAnsi="Book Antiqua" w:eastAsia="SimSun" w:cs="Book Antiqua"/>
                <w:color w:val="000000"/>
                <w:kern w:val="0"/>
                <w:sz w:val="20"/>
                <w:szCs w:val="20"/>
                <w:lang w:val="en-US" w:eastAsia="zh-CN" w:bidi="ar"/>
              </w:rPr>
            </w:pPr>
            <w:r>
              <w:rPr>
                <w:rFonts w:hint="default" w:ascii="Book Antiqua" w:hAnsi="Book Antiqua" w:eastAsia="SimSun" w:cs="Book Antiqua"/>
                <w:b/>
                <w:bCs/>
                <w:color w:val="000000"/>
                <w:kern w:val="0"/>
                <w:sz w:val="20"/>
                <w:szCs w:val="20"/>
                <w:lang w:val="en-US" w:eastAsia="zh-CN" w:bidi="ar"/>
              </w:rPr>
              <w:t xml:space="preserve">PRESTAÇÃO DE SERVIÇO DE SEGURO AUTOMOTIVO - FIAT UNO 1.0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 xml:space="preserve">PRESTAÇÃO DE SERVIÇO DE SEGURO AUTOMOTIVO NA MODALIDADE TOTAL POR VALOR DE MERCADO REFERENCIADO (CEM POR CENTO DA TABELA FIPE).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 xml:space="preserve">FIAT UNO 1.0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 xml:space="preserve">PLACA: QTH-6C78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 xml:space="preserve">RENAVAM: 1240092684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 xml:space="preserve">CHASSI: 9BD195A4ZM0896430 ANO/MODELO: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 xml:space="preserve">2020/2020 COR: BRANCO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 xml:space="preserve">COMBUSTÍVEL: ÁLCOOL/GASOLINA </w:t>
            </w:r>
          </w:p>
          <w:p>
            <w:pPr>
              <w:keepNext w:val="0"/>
              <w:keepLines w:val="0"/>
              <w:widowControl/>
              <w:suppressLineNumbers w:val="0"/>
              <w:jc w:val="both"/>
              <w:rPr>
                <w:rFonts w:hint="default" w:ascii="Book Antiqua" w:hAnsi="Book Antiqua" w:eastAsia="SimSun" w:cs="Book Antiqua"/>
                <w:color w:val="000000"/>
                <w:kern w:val="0"/>
                <w:sz w:val="20"/>
                <w:szCs w:val="20"/>
                <w:lang w:val="en-US" w:eastAsia="zh-CN" w:bidi="ar"/>
              </w:rPr>
            </w:pPr>
            <w:r>
              <w:rPr>
                <w:rFonts w:hint="default" w:ascii="Book Antiqua" w:hAnsi="Book Antiqua" w:eastAsia="SimSun" w:cs="Book Antiqua"/>
                <w:color w:val="000000"/>
                <w:kern w:val="0"/>
                <w:sz w:val="20"/>
                <w:szCs w:val="20"/>
                <w:lang w:val="en-US" w:eastAsia="zh-CN" w:bidi="ar"/>
              </w:rPr>
              <w:t xml:space="preserve">TOMBAMENTO: 97350 </w:t>
            </w:r>
          </w:p>
          <w:p>
            <w:pPr>
              <w:keepNext w:val="0"/>
              <w:keepLines w:val="0"/>
              <w:widowControl/>
              <w:suppressLineNumbers w:val="0"/>
              <w:jc w:val="both"/>
              <w:rPr>
                <w:rFonts w:hint="default" w:ascii="Book Antiqua" w:hAnsi="Book Antiqua" w:eastAsia="SimSun" w:cs="Book Antiqua"/>
                <w:color w:val="000000"/>
                <w:kern w:val="0"/>
                <w:sz w:val="20"/>
                <w:szCs w:val="20"/>
                <w:lang w:val="en-US" w:eastAsia="zh-CN" w:bidi="ar"/>
              </w:rPr>
            </w:pPr>
            <w:r>
              <w:rPr>
                <w:rFonts w:hint="default" w:ascii="Book Antiqua" w:hAnsi="Book Antiqua" w:eastAsia="SimSun" w:cs="Book Antiqua"/>
                <w:color w:val="000000"/>
                <w:kern w:val="0"/>
                <w:sz w:val="20"/>
                <w:szCs w:val="20"/>
                <w:lang w:val="en-US" w:eastAsia="zh-CN" w:bidi="ar"/>
              </w:rPr>
              <w:t>VALOR TOTAL PARA O PERÍODO DE 12 MESES.</w:t>
            </w:r>
          </w:p>
        </w:tc>
        <w:tc>
          <w:tcPr>
            <w:tcW w:w="1728"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numPr>
                <w:ilvl w:val="0"/>
                <w:numId w:val="0"/>
              </w:numPr>
              <w:kinsoku/>
              <w:wordWrap/>
              <w:overflowPunct/>
              <w:topLinePunct w:val="0"/>
              <w:autoSpaceDE/>
              <w:autoSpaceDN/>
              <w:bidi w:val="0"/>
              <w:adjustRightInd/>
              <w:snapToGrid/>
              <w:spacing w:after="150" w:afterLines="50"/>
              <w:ind w:left="0" w:leftChars="0" w:firstLine="0" w:firstLineChars="0"/>
              <w:jc w:val="center"/>
              <w:textAlignment w:val="auto"/>
              <w:rPr>
                <w:rFonts w:hint="default" w:ascii="Book Antiqua" w:hAnsi="Book Antiqua" w:eastAsia="SimSun" w:cs="Book Antiqua"/>
                <w:b/>
                <w:bCs/>
                <w:sz w:val="24"/>
                <w:szCs w:val="24"/>
                <w:lang w:val="pt-BR"/>
              </w:rPr>
            </w:pPr>
            <w:r>
              <w:rPr>
                <w:rFonts w:hint="default" w:ascii="Book Antiqua" w:hAnsi="Book Antiqua" w:eastAsia="SimSun" w:cs="Book Antiqua"/>
                <w:b/>
                <w:bCs/>
                <w:sz w:val="24"/>
                <w:szCs w:val="24"/>
                <w:lang w:val="pt-BR"/>
              </w:rPr>
              <w:t>R$ 1.642,36</w:t>
            </w:r>
          </w:p>
        </w:tc>
      </w:tr>
      <w:tr>
        <w:tblPrEx>
          <w:tblCellMar>
            <w:top w:w="0" w:type="dxa"/>
            <w:left w:w="70" w:type="dxa"/>
            <w:bottom w:w="0" w:type="dxa"/>
            <w:right w:w="70" w:type="dxa"/>
          </w:tblCellMar>
        </w:tblPrEx>
        <w:trPr>
          <w:trHeight w:val="228" w:hRule="atLeast"/>
          <w:jc w:val="center"/>
        </w:trPr>
        <w:tc>
          <w:tcPr>
            <w:tcW w:w="756" w:type="dxa"/>
            <w:tcBorders>
              <w:top w:val="single" w:color="auto" w:sz="4" w:space="0"/>
              <w:left w:val="single" w:color="auto" w:sz="4" w:space="0"/>
              <w:bottom w:val="single" w:color="auto" w:sz="4" w:space="0"/>
              <w:right w:val="single" w:color="auto" w:sz="4" w:space="0"/>
            </w:tcBorders>
            <w:vAlign w:val="center"/>
          </w:tcPr>
          <w:p>
            <w:pPr>
              <w:tabs>
                <w:tab w:val="left" w:pos="928"/>
              </w:tabs>
              <w:suppressAutoHyphens/>
              <w:spacing w:after="120" w:afterLines="50"/>
              <w:jc w:val="center"/>
              <w:rPr>
                <w:rFonts w:hint="default" w:ascii="Book Antiqua" w:hAnsi="Book Antiqua" w:cs="Arial"/>
                <w:color w:val="000000"/>
                <w:lang w:val="pt-BR" w:eastAsia="en-US"/>
              </w:rPr>
            </w:pPr>
            <w:r>
              <w:rPr>
                <w:rFonts w:hint="default" w:ascii="Book Antiqua" w:hAnsi="Book Antiqua" w:cs="Arial"/>
                <w:color w:val="000000"/>
                <w:lang w:val="pt-BR" w:eastAsia="en-US"/>
              </w:rPr>
              <w:t>3</w:t>
            </w:r>
          </w:p>
        </w:tc>
        <w:tc>
          <w:tcPr>
            <w:tcW w:w="972" w:type="dxa"/>
            <w:tcBorders>
              <w:top w:val="single" w:color="auto" w:sz="4" w:space="0"/>
              <w:left w:val="single" w:color="auto" w:sz="4" w:space="0"/>
              <w:bottom w:val="single" w:color="auto" w:sz="4" w:space="0"/>
              <w:right w:val="single" w:color="auto" w:sz="4" w:space="0"/>
            </w:tcBorders>
            <w:vAlign w:val="center"/>
          </w:tcPr>
          <w:p>
            <w:pPr>
              <w:spacing w:after="120" w:afterLines="50"/>
              <w:jc w:val="center"/>
              <w:rPr>
                <w:rFonts w:hint="default" w:ascii="Book Antiqua" w:hAnsi="Book Antiqua" w:cs="Arial"/>
                <w:b/>
                <w:bCs/>
                <w:sz w:val="24"/>
                <w:szCs w:val="24"/>
                <w:lang w:val="pt-BR" w:eastAsia="zh-CN"/>
              </w:rPr>
            </w:pPr>
            <w:r>
              <w:rPr>
                <w:rFonts w:hint="default" w:ascii="Book Antiqua" w:hAnsi="Book Antiqua" w:cs="Arial"/>
                <w:b/>
                <w:bCs/>
                <w:sz w:val="24"/>
                <w:szCs w:val="24"/>
                <w:lang w:val="pt-BR" w:eastAsia="zh-CN"/>
              </w:rPr>
              <w:t>01</w:t>
            </w:r>
          </w:p>
        </w:tc>
        <w:tc>
          <w:tcPr>
            <w:tcW w:w="813" w:type="dxa"/>
            <w:tcBorders>
              <w:top w:val="single" w:color="auto" w:sz="4" w:space="0"/>
              <w:left w:val="single" w:color="auto" w:sz="4" w:space="0"/>
              <w:bottom w:val="single" w:color="auto" w:sz="4" w:space="0"/>
              <w:right w:val="single" w:color="auto" w:sz="4" w:space="0"/>
            </w:tcBorders>
            <w:shd w:val="clear" w:color="auto" w:fill="FFFFFF"/>
            <w:vAlign w:val="center"/>
          </w:tcPr>
          <w:p>
            <w:pPr>
              <w:spacing w:after="120" w:afterLines="50"/>
              <w:jc w:val="center"/>
              <w:rPr>
                <w:rFonts w:ascii="Book Antiqua" w:hAnsi="Book Antiqua" w:cs="Arial"/>
                <w:sz w:val="20"/>
                <w:szCs w:val="20"/>
              </w:rPr>
            </w:pPr>
            <w:r>
              <w:rPr>
                <w:rFonts w:ascii="Book Antiqua" w:hAnsi="Book Antiqua" w:cs="Arial"/>
                <w:sz w:val="20"/>
                <w:szCs w:val="20"/>
              </w:rPr>
              <w:t>Serv.</w:t>
            </w:r>
          </w:p>
        </w:tc>
        <w:tc>
          <w:tcPr>
            <w:tcW w:w="5849"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both"/>
              <w:rPr>
                <w:rFonts w:hint="default" w:ascii="Book Antiqua" w:hAnsi="Book Antiqua" w:eastAsia="SimSun" w:cs="Book Antiqua"/>
                <w:b/>
                <w:bCs/>
                <w:color w:val="000000"/>
                <w:kern w:val="0"/>
                <w:sz w:val="20"/>
                <w:szCs w:val="20"/>
                <w:lang w:val="en-US" w:eastAsia="zh-CN" w:bidi="ar"/>
              </w:rPr>
            </w:pPr>
            <w:r>
              <w:rPr>
                <w:rFonts w:hint="default" w:ascii="Book Antiqua" w:hAnsi="Book Antiqua" w:eastAsia="SimSun" w:cs="Book Antiqua"/>
                <w:b/>
                <w:bCs/>
                <w:color w:val="000000"/>
                <w:kern w:val="0"/>
                <w:sz w:val="20"/>
                <w:szCs w:val="20"/>
                <w:lang w:val="en-US" w:eastAsia="zh-CN" w:bidi="ar"/>
              </w:rPr>
              <w:t>SEGURO AUTOMOTIVO CHEVROLET MONTANA LS2</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 xml:space="preserve">PRESTAÇÃO DE SERVIÇO DE SEGURO AUTOMOTIVO NA MODALIDADE TOTAL POR VALOR DE MERCADO REFERENCIADO (CEM POR CENTO DA TABELA FIPE).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 xml:space="preserve">CHEVROLET MONTANA LS2 PLACA: QTE-0569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 xml:space="preserve">RENAVAM:1168005482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 xml:space="preserve">CHASSI: 9BGCA8030KB12116 ANO/MODELO: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 xml:space="preserve">2018/2019 COR: BRANCO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 xml:space="preserve">COMBUSTÍVEL:ÁLCOOL/GASOLINA </w:t>
            </w:r>
          </w:p>
          <w:p>
            <w:pPr>
              <w:keepNext w:val="0"/>
              <w:keepLines w:val="0"/>
              <w:widowControl/>
              <w:suppressLineNumbers w:val="0"/>
              <w:jc w:val="both"/>
              <w:rPr>
                <w:rFonts w:hint="default" w:ascii="Book Antiqua" w:hAnsi="Book Antiqua" w:eastAsia="SimSun" w:cs="Book Antiqua"/>
                <w:color w:val="000000"/>
                <w:kern w:val="0"/>
                <w:sz w:val="20"/>
                <w:szCs w:val="20"/>
                <w:lang w:val="en-US" w:eastAsia="zh-CN" w:bidi="ar"/>
              </w:rPr>
            </w:pPr>
            <w:r>
              <w:rPr>
                <w:rFonts w:hint="default" w:ascii="Book Antiqua" w:hAnsi="Book Antiqua" w:eastAsia="SimSun" w:cs="Book Antiqua"/>
                <w:color w:val="000000"/>
                <w:kern w:val="0"/>
                <w:sz w:val="20"/>
                <w:szCs w:val="20"/>
                <w:lang w:val="en-US" w:eastAsia="zh-CN" w:bidi="ar"/>
              </w:rPr>
              <w:t xml:space="preserve">TOMBAMENTO: 89844 </w:t>
            </w:r>
          </w:p>
          <w:p>
            <w:pPr>
              <w:keepNext w:val="0"/>
              <w:keepLines w:val="0"/>
              <w:widowControl/>
              <w:suppressLineNumbers w:val="0"/>
              <w:jc w:val="both"/>
              <w:rPr>
                <w:rFonts w:hint="default" w:ascii="Book Antiqua" w:hAnsi="Book Antiqua" w:eastAsia="SimSun" w:cs="Book Antiqua"/>
                <w:color w:val="000000"/>
                <w:kern w:val="0"/>
                <w:sz w:val="20"/>
                <w:szCs w:val="20"/>
                <w:lang w:val="en-US" w:eastAsia="zh-CN" w:bidi="ar"/>
              </w:rPr>
            </w:pPr>
            <w:r>
              <w:rPr>
                <w:rFonts w:hint="default" w:ascii="Book Antiqua" w:hAnsi="Book Antiqua" w:eastAsia="SimSun" w:cs="Book Antiqua"/>
                <w:color w:val="000000"/>
                <w:kern w:val="0"/>
                <w:sz w:val="20"/>
                <w:szCs w:val="20"/>
                <w:lang w:val="en-US" w:eastAsia="zh-CN" w:bidi="ar"/>
              </w:rPr>
              <w:t xml:space="preserve">VALOR TOTAL PARA O PERÍODO DE 12 MESES. </w:t>
            </w:r>
          </w:p>
        </w:tc>
        <w:tc>
          <w:tcPr>
            <w:tcW w:w="1728"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numPr>
                <w:ilvl w:val="0"/>
                <w:numId w:val="0"/>
              </w:numPr>
              <w:kinsoku/>
              <w:wordWrap/>
              <w:overflowPunct/>
              <w:topLinePunct w:val="0"/>
              <w:autoSpaceDE/>
              <w:autoSpaceDN/>
              <w:bidi w:val="0"/>
              <w:adjustRightInd/>
              <w:snapToGrid/>
              <w:spacing w:after="150" w:afterLines="50"/>
              <w:ind w:left="0" w:leftChars="0" w:firstLine="0" w:firstLineChars="0"/>
              <w:jc w:val="center"/>
              <w:textAlignment w:val="auto"/>
              <w:rPr>
                <w:rFonts w:hint="default" w:ascii="Book Antiqua" w:hAnsi="Book Antiqua" w:eastAsia="SimSun" w:cs="Book Antiqua"/>
                <w:b/>
                <w:bCs/>
                <w:sz w:val="24"/>
                <w:szCs w:val="24"/>
                <w:lang w:val="pt-BR"/>
              </w:rPr>
            </w:pPr>
            <w:r>
              <w:rPr>
                <w:rFonts w:hint="default" w:ascii="Book Antiqua" w:hAnsi="Book Antiqua" w:eastAsia="SimSun" w:cs="Book Antiqua"/>
                <w:b/>
                <w:bCs/>
                <w:sz w:val="24"/>
                <w:szCs w:val="24"/>
                <w:lang w:val="pt-BR"/>
              </w:rPr>
              <w:t>R$ 2.937,07</w:t>
            </w:r>
          </w:p>
        </w:tc>
      </w:tr>
      <w:tr>
        <w:tblPrEx>
          <w:tblCellMar>
            <w:top w:w="0" w:type="dxa"/>
            <w:left w:w="70" w:type="dxa"/>
            <w:bottom w:w="0" w:type="dxa"/>
            <w:right w:w="70" w:type="dxa"/>
          </w:tblCellMar>
        </w:tblPrEx>
        <w:trPr>
          <w:trHeight w:val="228" w:hRule="atLeast"/>
          <w:jc w:val="center"/>
        </w:trPr>
        <w:tc>
          <w:tcPr>
            <w:tcW w:w="756" w:type="dxa"/>
            <w:tcBorders>
              <w:top w:val="single" w:color="auto" w:sz="4" w:space="0"/>
              <w:left w:val="single" w:color="auto" w:sz="4" w:space="0"/>
              <w:bottom w:val="single" w:color="auto" w:sz="4" w:space="0"/>
              <w:right w:val="single" w:color="auto" w:sz="4" w:space="0"/>
            </w:tcBorders>
            <w:vAlign w:val="center"/>
          </w:tcPr>
          <w:p>
            <w:pPr>
              <w:tabs>
                <w:tab w:val="left" w:pos="928"/>
              </w:tabs>
              <w:suppressAutoHyphens/>
              <w:spacing w:after="120" w:afterLines="50"/>
              <w:jc w:val="center"/>
              <w:rPr>
                <w:rFonts w:hint="default" w:ascii="Book Antiqua" w:hAnsi="Book Antiqua" w:cs="Arial"/>
                <w:color w:val="000000"/>
                <w:lang w:val="pt-BR" w:eastAsia="en-US"/>
              </w:rPr>
            </w:pPr>
            <w:r>
              <w:rPr>
                <w:rFonts w:hint="default" w:ascii="Book Antiqua" w:hAnsi="Book Antiqua" w:cs="Arial"/>
                <w:color w:val="000000"/>
                <w:lang w:val="pt-BR" w:eastAsia="en-US"/>
              </w:rPr>
              <w:t>4</w:t>
            </w:r>
          </w:p>
        </w:tc>
        <w:tc>
          <w:tcPr>
            <w:tcW w:w="972" w:type="dxa"/>
            <w:tcBorders>
              <w:top w:val="single" w:color="auto" w:sz="4" w:space="0"/>
              <w:left w:val="single" w:color="auto" w:sz="4" w:space="0"/>
              <w:bottom w:val="single" w:color="auto" w:sz="4" w:space="0"/>
              <w:right w:val="single" w:color="auto" w:sz="4" w:space="0"/>
            </w:tcBorders>
            <w:vAlign w:val="center"/>
          </w:tcPr>
          <w:p>
            <w:pPr>
              <w:spacing w:after="120" w:afterLines="50"/>
              <w:jc w:val="center"/>
              <w:rPr>
                <w:rFonts w:hint="default" w:ascii="Book Antiqua" w:hAnsi="Book Antiqua" w:cs="Arial"/>
                <w:b/>
                <w:bCs/>
                <w:sz w:val="24"/>
                <w:szCs w:val="24"/>
                <w:lang w:val="pt-BR" w:eastAsia="zh-CN"/>
              </w:rPr>
            </w:pPr>
            <w:r>
              <w:rPr>
                <w:rFonts w:hint="default" w:ascii="Book Antiqua" w:hAnsi="Book Antiqua" w:cs="Arial"/>
                <w:b/>
                <w:bCs/>
                <w:sz w:val="24"/>
                <w:szCs w:val="24"/>
                <w:lang w:val="pt-BR" w:eastAsia="zh-CN"/>
              </w:rPr>
              <w:t>01</w:t>
            </w:r>
          </w:p>
        </w:tc>
        <w:tc>
          <w:tcPr>
            <w:tcW w:w="813" w:type="dxa"/>
            <w:tcBorders>
              <w:top w:val="single" w:color="auto" w:sz="4" w:space="0"/>
              <w:left w:val="single" w:color="auto" w:sz="4" w:space="0"/>
              <w:bottom w:val="single" w:color="auto" w:sz="4" w:space="0"/>
              <w:right w:val="single" w:color="auto" w:sz="4" w:space="0"/>
            </w:tcBorders>
            <w:shd w:val="clear" w:color="auto" w:fill="FFFFFF"/>
            <w:vAlign w:val="center"/>
          </w:tcPr>
          <w:p>
            <w:pPr>
              <w:spacing w:after="120" w:afterLines="50"/>
              <w:jc w:val="center"/>
              <w:rPr>
                <w:rFonts w:ascii="Book Antiqua" w:hAnsi="Book Antiqua" w:cs="Arial"/>
                <w:sz w:val="20"/>
                <w:szCs w:val="20"/>
              </w:rPr>
            </w:pPr>
            <w:r>
              <w:rPr>
                <w:rFonts w:ascii="Book Antiqua" w:hAnsi="Book Antiqua" w:cs="Arial"/>
                <w:sz w:val="20"/>
                <w:szCs w:val="20"/>
              </w:rPr>
              <w:t>Serv.</w:t>
            </w:r>
          </w:p>
        </w:tc>
        <w:tc>
          <w:tcPr>
            <w:tcW w:w="5849"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both"/>
              <w:rPr>
                <w:rFonts w:hint="default" w:ascii="Book Antiqua" w:hAnsi="Book Antiqua" w:eastAsia="SimSun" w:cs="Book Antiqua"/>
                <w:color w:val="000000"/>
                <w:kern w:val="0"/>
                <w:sz w:val="20"/>
                <w:szCs w:val="20"/>
                <w:lang w:val="en-US" w:eastAsia="zh-CN" w:bidi="ar"/>
              </w:rPr>
            </w:pPr>
            <w:r>
              <w:rPr>
                <w:rFonts w:hint="default" w:ascii="Book Antiqua" w:hAnsi="Book Antiqua" w:eastAsia="SimSun" w:cs="Book Antiqua"/>
                <w:b/>
                <w:bCs/>
                <w:color w:val="000000"/>
                <w:kern w:val="0"/>
                <w:sz w:val="20"/>
                <w:szCs w:val="20"/>
                <w:lang w:val="en-US" w:eastAsia="zh-CN" w:bidi="ar"/>
              </w:rPr>
              <w:t>SEGURO AUTOMOTIVO MITSUBICHI L200 TRITON 3.2D</w:t>
            </w:r>
            <w:r>
              <w:rPr>
                <w:rFonts w:hint="default" w:ascii="Book Antiqua" w:hAnsi="Book Antiqua" w:eastAsia="SimSun" w:cs="Book Antiqua"/>
                <w:color w:val="000000"/>
                <w:kern w:val="0"/>
                <w:sz w:val="20"/>
                <w:szCs w:val="20"/>
                <w:lang w:val="en-US" w:eastAsia="zh-CN" w:bidi="ar"/>
              </w:rPr>
              <w:t xml:space="preserve">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 xml:space="preserve">PRESTAÇÃO DE SERVIÇO DE SEGURO AUTOMOTIVO NA MODALIDADE TOTAL POR VALOR DE MERCADO REFERENCIADO (CEM POR CENTO DA TABELA FIPE).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 xml:space="preserve">MITSUBICHI L200 TRITON 3.2D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 xml:space="preserve">PLACA: NDO-1508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 xml:space="preserve">RENAVAM: 495679275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 xml:space="preserve">CHASSI: 93XJRKB8TCCC51143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 xml:space="preserve">ANO/MODELO: 2012/2012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 xml:space="preserve">COR: BRANCO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COMBUSTÍVEL:</w:t>
            </w:r>
            <w:r>
              <w:rPr>
                <w:rFonts w:hint="default" w:ascii="Book Antiqua" w:hAnsi="Book Antiqua" w:eastAsia="SimSun" w:cs="Book Antiqua"/>
                <w:color w:val="000000"/>
                <w:kern w:val="0"/>
                <w:sz w:val="20"/>
                <w:szCs w:val="20"/>
                <w:lang w:val="pt-BR" w:eastAsia="zh-CN" w:bidi="ar"/>
              </w:rPr>
              <w:t xml:space="preserve">  </w:t>
            </w:r>
            <w:r>
              <w:rPr>
                <w:rFonts w:hint="default" w:ascii="Book Antiqua" w:hAnsi="Book Antiqua" w:eastAsia="SimSun" w:cs="Book Antiqua"/>
                <w:color w:val="000000"/>
                <w:kern w:val="0"/>
                <w:sz w:val="20"/>
                <w:szCs w:val="20"/>
                <w:lang w:val="en-US" w:eastAsia="zh-CN" w:bidi="ar"/>
              </w:rPr>
              <w:t xml:space="preserve">DIESEL </w:t>
            </w:r>
          </w:p>
          <w:p>
            <w:pPr>
              <w:keepNext w:val="0"/>
              <w:keepLines w:val="0"/>
              <w:widowControl/>
              <w:suppressLineNumbers w:val="0"/>
              <w:jc w:val="both"/>
              <w:rPr>
                <w:rFonts w:hint="default" w:ascii="Book Antiqua" w:hAnsi="Book Antiqua" w:eastAsia="SimSun" w:cs="Book Antiqua"/>
                <w:color w:val="000000"/>
                <w:kern w:val="0"/>
                <w:sz w:val="20"/>
                <w:szCs w:val="20"/>
                <w:lang w:val="en-US" w:eastAsia="zh-CN" w:bidi="ar"/>
              </w:rPr>
            </w:pPr>
            <w:r>
              <w:rPr>
                <w:rFonts w:hint="default" w:ascii="Book Antiqua" w:hAnsi="Book Antiqua" w:eastAsia="SimSun" w:cs="Book Antiqua"/>
                <w:color w:val="000000"/>
                <w:kern w:val="0"/>
                <w:sz w:val="20"/>
                <w:szCs w:val="20"/>
                <w:lang w:val="en-US" w:eastAsia="zh-CN" w:bidi="ar"/>
              </w:rPr>
              <w:t xml:space="preserve">TOMBAMENTO: 78172 </w:t>
            </w:r>
          </w:p>
          <w:p>
            <w:pPr>
              <w:keepNext w:val="0"/>
              <w:keepLines w:val="0"/>
              <w:widowControl/>
              <w:suppressLineNumbers w:val="0"/>
              <w:jc w:val="both"/>
              <w:rPr>
                <w:rFonts w:hint="default" w:ascii="Book Antiqua" w:hAnsi="Book Antiqua" w:eastAsia="SimSun" w:cs="Book Antiqua"/>
                <w:color w:val="000000"/>
                <w:kern w:val="0"/>
                <w:sz w:val="20"/>
                <w:szCs w:val="20"/>
                <w:lang w:val="en-US" w:eastAsia="zh-CN" w:bidi="ar"/>
              </w:rPr>
            </w:pPr>
            <w:r>
              <w:rPr>
                <w:rFonts w:hint="default" w:ascii="Book Antiqua" w:hAnsi="Book Antiqua" w:eastAsia="SimSun" w:cs="Book Antiqua"/>
                <w:color w:val="000000"/>
                <w:kern w:val="0"/>
                <w:sz w:val="20"/>
                <w:szCs w:val="20"/>
                <w:lang w:val="en-US" w:eastAsia="zh-CN" w:bidi="ar"/>
              </w:rPr>
              <w:t xml:space="preserve">VALOR TOTAL PARA O PERÍODO DE 12 MESES. </w:t>
            </w:r>
          </w:p>
        </w:tc>
        <w:tc>
          <w:tcPr>
            <w:tcW w:w="1728"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numPr>
                <w:ilvl w:val="0"/>
                <w:numId w:val="0"/>
              </w:numPr>
              <w:kinsoku/>
              <w:wordWrap/>
              <w:overflowPunct/>
              <w:topLinePunct w:val="0"/>
              <w:autoSpaceDE/>
              <w:autoSpaceDN/>
              <w:bidi w:val="0"/>
              <w:adjustRightInd/>
              <w:snapToGrid/>
              <w:spacing w:after="150" w:afterLines="50"/>
              <w:ind w:left="0" w:leftChars="0" w:firstLine="0" w:firstLineChars="0"/>
              <w:jc w:val="center"/>
              <w:textAlignment w:val="auto"/>
              <w:rPr>
                <w:rFonts w:hint="default" w:ascii="Book Antiqua" w:hAnsi="Book Antiqua" w:eastAsia="SimSun" w:cs="Book Antiqua"/>
                <w:b/>
                <w:bCs/>
                <w:sz w:val="24"/>
                <w:szCs w:val="24"/>
                <w:lang w:val="pt-BR"/>
              </w:rPr>
            </w:pPr>
            <w:r>
              <w:rPr>
                <w:rFonts w:hint="default" w:ascii="Book Antiqua" w:hAnsi="Book Antiqua" w:eastAsia="SimSun" w:cs="Book Antiqua"/>
                <w:b/>
                <w:bCs/>
                <w:sz w:val="24"/>
                <w:szCs w:val="24"/>
                <w:lang w:val="pt-BR"/>
              </w:rPr>
              <w:t>R$ 2.713,94</w:t>
            </w:r>
          </w:p>
        </w:tc>
      </w:tr>
      <w:tr>
        <w:tblPrEx>
          <w:tblCellMar>
            <w:top w:w="0" w:type="dxa"/>
            <w:left w:w="70" w:type="dxa"/>
            <w:bottom w:w="0" w:type="dxa"/>
            <w:right w:w="70" w:type="dxa"/>
          </w:tblCellMar>
        </w:tblPrEx>
        <w:trPr>
          <w:trHeight w:val="228" w:hRule="atLeast"/>
          <w:jc w:val="center"/>
        </w:trPr>
        <w:tc>
          <w:tcPr>
            <w:tcW w:w="756" w:type="dxa"/>
            <w:tcBorders>
              <w:top w:val="single" w:color="auto" w:sz="4" w:space="0"/>
              <w:left w:val="single" w:color="auto" w:sz="4" w:space="0"/>
              <w:bottom w:val="single" w:color="auto" w:sz="4" w:space="0"/>
              <w:right w:val="single" w:color="auto" w:sz="4" w:space="0"/>
            </w:tcBorders>
            <w:vAlign w:val="center"/>
          </w:tcPr>
          <w:p>
            <w:pPr>
              <w:tabs>
                <w:tab w:val="left" w:pos="928"/>
              </w:tabs>
              <w:suppressAutoHyphens/>
              <w:spacing w:after="120" w:afterLines="50"/>
              <w:jc w:val="center"/>
              <w:rPr>
                <w:rFonts w:hint="default" w:ascii="Book Antiqua" w:hAnsi="Book Antiqua" w:cs="Arial"/>
                <w:color w:val="000000"/>
                <w:lang w:val="pt-BR" w:eastAsia="en-US"/>
              </w:rPr>
            </w:pPr>
            <w:r>
              <w:rPr>
                <w:rFonts w:hint="default" w:ascii="Book Antiqua" w:hAnsi="Book Antiqua" w:cs="Arial"/>
                <w:color w:val="000000"/>
                <w:lang w:val="pt-BR" w:eastAsia="en-US"/>
              </w:rPr>
              <w:t>5</w:t>
            </w:r>
          </w:p>
        </w:tc>
        <w:tc>
          <w:tcPr>
            <w:tcW w:w="972" w:type="dxa"/>
            <w:tcBorders>
              <w:top w:val="single" w:color="auto" w:sz="4" w:space="0"/>
              <w:left w:val="single" w:color="auto" w:sz="4" w:space="0"/>
              <w:bottom w:val="single" w:color="auto" w:sz="4" w:space="0"/>
              <w:right w:val="single" w:color="auto" w:sz="4" w:space="0"/>
            </w:tcBorders>
            <w:vAlign w:val="center"/>
          </w:tcPr>
          <w:p>
            <w:pPr>
              <w:spacing w:after="120" w:afterLines="50"/>
              <w:jc w:val="center"/>
              <w:rPr>
                <w:rFonts w:hint="default" w:ascii="Book Antiqua" w:hAnsi="Book Antiqua" w:cs="Arial"/>
                <w:b/>
                <w:bCs/>
                <w:sz w:val="24"/>
                <w:szCs w:val="24"/>
                <w:lang w:val="pt-BR" w:eastAsia="zh-CN"/>
              </w:rPr>
            </w:pPr>
            <w:r>
              <w:rPr>
                <w:rFonts w:hint="default" w:ascii="Book Antiqua" w:hAnsi="Book Antiqua" w:cs="Arial"/>
                <w:b/>
                <w:bCs/>
                <w:sz w:val="24"/>
                <w:szCs w:val="24"/>
                <w:lang w:val="pt-BR" w:eastAsia="zh-CN"/>
              </w:rPr>
              <w:t>01</w:t>
            </w:r>
          </w:p>
        </w:tc>
        <w:tc>
          <w:tcPr>
            <w:tcW w:w="813" w:type="dxa"/>
            <w:tcBorders>
              <w:top w:val="single" w:color="auto" w:sz="4" w:space="0"/>
              <w:left w:val="single" w:color="auto" w:sz="4" w:space="0"/>
              <w:bottom w:val="single" w:color="auto" w:sz="4" w:space="0"/>
              <w:right w:val="single" w:color="auto" w:sz="4" w:space="0"/>
            </w:tcBorders>
            <w:shd w:val="clear" w:color="auto" w:fill="FFFFFF"/>
            <w:vAlign w:val="center"/>
          </w:tcPr>
          <w:p>
            <w:pPr>
              <w:spacing w:after="120" w:afterLines="50"/>
              <w:jc w:val="center"/>
              <w:rPr>
                <w:rFonts w:ascii="Book Antiqua" w:hAnsi="Book Antiqua" w:cs="Arial"/>
                <w:sz w:val="20"/>
                <w:szCs w:val="20"/>
              </w:rPr>
            </w:pPr>
            <w:r>
              <w:rPr>
                <w:rFonts w:ascii="Book Antiqua" w:hAnsi="Book Antiqua" w:cs="Arial"/>
                <w:sz w:val="20"/>
                <w:szCs w:val="20"/>
              </w:rPr>
              <w:t>Serv.</w:t>
            </w:r>
          </w:p>
        </w:tc>
        <w:tc>
          <w:tcPr>
            <w:tcW w:w="5849"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rPr>
                <w:rFonts w:hint="default" w:ascii="Book Antiqua" w:hAnsi="Book Antiqua" w:cs="Book Antiqua"/>
                <w:sz w:val="20"/>
                <w:szCs w:val="20"/>
              </w:rPr>
            </w:pPr>
            <w:r>
              <w:rPr>
                <w:rFonts w:hint="default" w:ascii="Book Antiqua" w:hAnsi="Book Antiqua" w:eastAsia="SimSun" w:cs="Book Antiqua"/>
                <w:b/>
                <w:bCs/>
                <w:color w:val="000000"/>
                <w:kern w:val="0"/>
                <w:sz w:val="20"/>
                <w:szCs w:val="20"/>
                <w:lang w:val="en-US" w:eastAsia="zh-CN" w:bidi="ar"/>
              </w:rPr>
              <w:t xml:space="preserve">SEGURO AUTOMOTIVO TOYOTA ETIOS HB X VSC M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 xml:space="preserve">PRESTAÇÃO DE SERVIÇO DE SEGURO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 xml:space="preserve">AUTOMOTIVO NA MODALIDADE TOTAL POR VALOR DE MERCADO REFERENCIADO (CEM POR CENTO DA TABELA FIPE).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 xml:space="preserve">TOYOTA ETIOS HB X VSC M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 xml:space="preserve">PLACA: OHS-8863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 xml:space="preserve">RENAVAM:1206738615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 xml:space="preserve">CHASSI: 9BRK19BT8L2132605 ANO/MODELO: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 xml:space="preserve">2019/2020 COR: BRANCO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 xml:space="preserve">COMBUSTÍVEL:ÁLCOOL/GASOLINA </w:t>
            </w:r>
          </w:p>
          <w:p>
            <w:pPr>
              <w:keepNext w:val="0"/>
              <w:keepLines w:val="0"/>
              <w:widowControl/>
              <w:suppressLineNumbers w:val="0"/>
              <w:jc w:val="both"/>
              <w:rPr>
                <w:rFonts w:hint="default" w:ascii="Book Antiqua" w:hAnsi="Book Antiqua" w:eastAsia="SimSun" w:cs="Book Antiqua"/>
                <w:color w:val="000000"/>
                <w:kern w:val="0"/>
                <w:sz w:val="20"/>
                <w:szCs w:val="20"/>
                <w:lang w:val="en-US" w:eastAsia="zh-CN" w:bidi="ar"/>
              </w:rPr>
            </w:pPr>
            <w:r>
              <w:rPr>
                <w:rFonts w:hint="default" w:ascii="Book Antiqua" w:hAnsi="Book Antiqua" w:eastAsia="SimSun" w:cs="Book Antiqua"/>
                <w:color w:val="000000"/>
                <w:kern w:val="0"/>
                <w:sz w:val="20"/>
                <w:szCs w:val="20"/>
                <w:lang w:val="en-US" w:eastAsia="zh-CN" w:bidi="ar"/>
              </w:rPr>
              <w:t xml:space="preserve">TOMBAMENTO: 78172 </w:t>
            </w:r>
          </w:p>
          <w:p>
            <w:pPr>
              <w:keepNext w:val="0"/>
              <w:keepLines w:val="0"/>
              <w:widowControl/>
              <w:suppressLineNumbers w:val="0"/>
              <w:jc w:val="both"/>
              <w:rPr>
                <w:rFonts w:hint="default" w:ascii="Book Antiqua" w:hAnsi="Book Antiqua" w:eastAsia="SimSun" w:cs="Book Antiqua"/>
                <w:color w:val="000000"/>
                <w:kern w:val="0"/>
                <w:sz w:val="20"/>
                <w:szCs w:val="20"/>
                <w:lang w:val="en-US" w:eastAsia="zh-CN" w:bidi="ar"/>
              </w:rPr>
            </w:pPr>
            <w:r>
              <w:rPr>
                <w:rFonts w:hint="default" w:ascii="Book Antiqua" w:hAnsi="Book Antiqua" w:eastAsia="SimSun" w:cs="Book Antiqua"/>
                <w:color w:val="000000"/>
                <w:kern w:val="0"/>
                <w:sz w:val="20"/>
                <w:szCs w:val="20"/>
                <w:lang w:val="en-US" w:eastAsia="zh-CN" w:bidi="ar"/>
              </w:rPr>
              <w:t xml:space="preserve">VALOR TOTAL PARA O PERÍODO DE 12 MESES. </w:t>
            </w:r>
          </w:p>
        </w:tc>
        <w:tc>
          <w:tcPr>
            <w:tcW w:w="1728"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numPr>
                <w:ilvl w:val="0"/>
                <w:numId w:val="0"/>
              </w:numPr>
              <w:kinsoku/>
              <w:wordWrap/>
              <w:overflowPunct/>
              <w:topLinePunct w:val="0"/>
              <w:autoSpaceDE/>
              <w:autoSpaceDN/>
              <w:bidi w:val="0"/>
              <w:adjustRightInd/>
              <w:snapToGrid/>
              <w:spacing w:after="150" w:afterLines="50"/>
              <w:ind w:left="0" w:leftChars="0" w:firstLine="0" w:firstLineChars="0"/>
              <w:jc w:val="center"/>
              <w:textAlignment w:val="auto"/>
              <w:rPr>
                <w:rFonts w:hint="default" w:ascii="Book Antiqua" w:hAnsi="Book Antiqua" w:eastAsia="SimSun" w:cs="Book Antiqua"/>
                <w:b/>
                <w:bCs/>
                <w:sz w:val="24"/>
                <w:szCs w:val="24"/>
                <w:lang w:val="pt-BR"/>
              </w:rPr>
            </w:pPr>
            <w:r>
              <w:rPr>
                <w:rFonts w:hint="default" w:ascii="Book Antiqua" w:hAnsi="Book Antiqua" w:eastAsia="SimSun" w:cs="Book Antiqua"/>
                <w:b/>
                <w:bCs/>
                <w:sz w:val="24"/>
                <w:szCs w:val="24"/>
                <w:lang w:val="pt-BR"/>
              </w:rPr>
              <w:t>R$ 1.778,73</w:t>
            </w:r>
          </w:p>
        </w:tc>
      </w:tr>
      <w:tr>
        <w:tblPrEx>
          <w:tblCellMar>
            <w:top w:w="0" w:type="dxa"/>
            <w:left w:w="70" w:type="dxa"/>
            <w:bottom w:w="0" w:type="dxa"/>
            <w:right w:w="70" w:type="dxa"/>
          </w:tblCellMar>
        </w:tblPrEx>
        <w:trPr>
          <w:trHeight w:val="3461" w:hRule="atLeast"/>
          <w:jc w:val="center"/>
        </w:trPr>
        <w:tc>
          <w:tcPr>
            <w:tcW w:w="756" w:type="dxa"/>
            <w:tcBorders>
              <w:top w:val="single" w:color="auto" w:sz="4" w:space="0"/>
              <w:left w:val="single" w:color="auto" w:sz="4" w:space="0"/>
              <w:bottom w:val="single" w:color="auto" w:sz="4" w:space="0"/>
              <w:right w:val="single" w:color="auto" w:sz="4" w:space="0"/>
            </w:tcBorders>
            <w:vAlign w:val="center"/>
          </w:tcPr>
          <w:p>
            <w:pPr>
              <w:tabs>
                <w:tab w:val="left" w:pos="928"/>
              </w:tabs>
              <w:suppressAutoHyphens/>
              <w:spacing w:after="120" w:afterLines="50"/>
              <w:jc w:val="center"/>
              <w:rPr>
                <w:rFonts w:hint="default" w:ascii="Book Antiqua" w:hAnsi="Book Antiqua" w:cs="Arial"/>
                <w:color w:val="000000"/>
                <w:lang w:val="pt-BR" w:eastAsia="en-US"/>
              </w:rPr>
            </w:pPr>
            <w:r>
              <w:rPr>
                <w:rFonts w:hint="default" w:ascii="Book Antiqua" w:hAnsi="Book Antiqua" w:cs="Arial"/>
                <w:color w:val="000000"/>
                <w:lang w:val="pt-BR" w:eastAsia="en-US"/>
              </w:rPr>
              <w:t>6</w:t>
            </w:r>
          </w:p>
        </w:tc>
        <w:tc>
          <w:tcPr>
            <w:tcW w:w="972" w:type="dxa"/>
            <w:tcBorders>
              <w:top w:val="single" w:color="auto" w:sz="4" w:space="0"/>
              <w:left w:val="single" w:color="auto" w:sz="4" w:space="0"/>
              <w:bottom w:val="single" w:color="auto" w:sz="4" w:space="0"/>
              <w:right w:val="single" w:color="auto" w:sz="4" w:space="0"/>
            </w:tcBorders>
            <w:vAlign w:val="center"/>
          </w:tcPr>
          <w:p>
            <w:pPr>
              <w:spacing w:after="120" w:afterLines="50"/>
              <w:jc w:val="center"/>
              <w:rPr>
                <w:rFonts w:hint="default" w:ascii="Book Antiqua" w:hAnsi="Book Antiqua" w:cs="Arial"/>
                <w:b/>
                <w:bCs/>
                <w:sz w:val="24"/>
                <w:szCs w:val="24"/>
                <w:lang w:val="pt-BR" w:eastAsia="zh-CN"/>
              </w:rPr>
            </w:pPr>
            <w:r>
              <w:rPr>
                <w:rFonts w:hint="default" w:ascii="Book Antiqua" w:hAnsi="Book Antiqua" w:cs="Arial"/>
                <w:b/>
                <w:bCs/>
                <w:sz w:val="24"/>
                <w:szCs w:val="24"/>
                <w:lang w:val="pt-BR" w:eastAsia="zh-CN"/>
              </w:rPr>
              <w:t>01</w:t>
            </w:r>
          </w:p>
        </w:tc>
        <w:tc>
          <w:tcPr>
            <w:tcW w:w="813" w:type="dxa"/>
            <w:tcBorders>
              <w:top w:val="single" w:color="auto" w:sz="4" w:space="0"/>
              <w:left w:val="single" w:color="auto" w:sz="4" w:space="0"/>
              <w:bottom w:val="single" w:color="auto" w:sz="4" w:space="0"/>
              <w:right w:val="single" w:color="auto" w:sz="4" w:space="0"/>
            </w:tcBorders>
            <w:shd w:val="clear" w:color="auto" w:fill="FFFFFF"/>
            <w:vAlign w:val="center"/>
          </w:tcPr>
          <w:p>
            <w:pPr>
              <w:spacing w:after="120" w:afterLines="50"/>
              <w:jc w:val="center"/>
              <w:rPr>
                <w:rFonts w:ascii="Book Antiqua" w:hAnsi="Book Antiqua" w:cs="Arial"/>
                <w:sz w:val="20"/>
                <w:szCs w:val="20"/>
              </w:rPr>
            </w:pPr>
            <w:r>
              <w:rPr>
                <w:rFonts w:ascii="Book Antiqua" w:hAnsi="Book Antiqua" w:cs="Arial"/>
                <w:sz w:val="20"/>
                <w:szCs w:val="20"/>
              </w:rPr>
              <w:t>Serv.</w:t>
            </w:r>
          </w:p>
        </w:tc>
        <w:tc>
          <w:tcPr>
            <w:tcW w:w="5849"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b/>
                <w:bCs/>
                <w:i w:val="0"/>
                <w:iCs w:val="0"/>
                <w:color w:val="000000"/>
                <w:kern w:val="0"/>
                <w:sz w:val="20"/>
                <w:szCs w:val="20"/>
                <w:lang w:val="en-US" w:eastAsia="zh-CN" w:bidi="ar"/>
              </w:rPr>
              <w:t>SEGURO AUTOMOTIVO TOYOTA HILLUX CDSR A4FD</w:t>
            </w:r>
            <w:r>
              <w:rPr>
                <w:rFonts w:hint="default" w:ascii="Book Antiqua" w:hAnsi="Book Antiqua" w:eastAsia="SimSun" w:cs="Book Antiqua"/>
                <w:color w:val="000000"/>
                <w:kern w:val="0"/>
                <w:sz w:val="20"/>
                <w:szCs w:val="20"/>
                <w:lang w:val="en-US" w:eastAsia="zh-CN" w:bidi="ar"/>
              </w:rPr>
              <w:t xml:space="preserve">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PRESTAÇÃO DE SERVIÇO DE SEGURO AUTOMOTIVO NA MODALIDADE TOTAL POR VALOR DE MERCADO</w:t>
            </w:r>
            <w:r>
              <w:rPr>
                <w:rFonts w:hint="default" w:ascii="Book Antiqua" w:hAnsi="Book Antiqua" w:eastAsia="SimSun" w:cs="Book Antiqua"/>
                <w:color w:val="000000"/>
                <w:kern w:val="0"/>
                <w:sz w:val="20"/>
                <w:szCs w:val="20"/>
                <w:lang w:val="pt-BR" w:eastAsia="zh-CN" w:bidi="ar"/>
              </w:rPr>
              <w:t xml:space="preserve"> </w:t>
            </w:r>
            <w:r>
              <w:rPr>
                <w:rFonts w:hint="default" w:ascii="Book Antiqua" w:hAnsi="Book Antiqua" w:eastAsia="SimSun" w:cs="Book Antiqua"/>
                <w:color w:val="000000"/>
                <w:kern w:val="0"/>
                <w:sz w:val="20"/>
                <w:szCs w:val="20"/>
                <w:lang w:val="en-US" w:eastAsia="zh-CN" w:bidi="ar"/>
              </w:rPr>
              <w:t xml:space="preserve">REFERENCIADO (CEM POR CENTO DA TABELA FIPE).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 xml:space="preserve">TOYOTA HILLUX CDSR A4FD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 xml:space="preserve">PLACA: QTE-3170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 xml:space="preserve">RENAVAM: 1171452907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 xml:space="preserve">CHASSI: 8AJKA8CD2K3180553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 xml:space="preserve">ANO/MODELO: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 xml:space="preserve">2018/2019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 xml:space="preserve">COR: BRANCO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COMBUSTÍVEL:</w:t>
            </w:r>
            <w:r>
              <w:rPr>
                <w:rFonts w:hint="default" w:ascii="Book Antiqua" w:hAnsi="Book Antiqua" w:eastAsia="SimSun" w:cs="Book Antiqua"/>
                <w:color w:val="000000"/>
                <w:kern w:val="0"/>
                <w:sz w:val="20"/>
                <w:szCs w:val="20"/>
                <w:lang w:val="pt-BR" w:eastAsia="zh-CN" w:bidi="ar"/>
              </w:rPr>
              <w:t xml:space="preserve"> </w:t>
            </w:r>
            <w:r>
              <w:rPr>
                <w:rFonts w:hint="default" w:ascii="Book Antiqua" w:hAnsi="Book Antiqua" w:eastAsia="SimSun" w:cs="Book Antiqua"/>
                <w:color w:val="000000"/>
                <w:kern w:val="0"/>
                <w:sz w:val="20"/>
                <w:szCs w:val="20"/>
                <w:lang w:val="en-US" w:eastAsia="zh-CN" w:bidi="ar"/>
              </w:rPr>
              <w:t xml:space="preserve">DIESEL </w:t>
            </w:r>
          </w:p>
          <w:p>
            <w:pPr>
              <w:keepNext w:val="0"/>
              <w:keepLines w:val="0"/>
              <w:widowControl/>
              <w:suppressLineNumbers w:val="0"/>
              <w:jc w:val="both"/>
              <w:rPr>
                <w:rFonts w:hint="default" w:ascii="Book Antiqua" w:hAnsi="Book Antiqua" w:eastAsia="SimSun" w:cs="Book Antiqua"/>
                <w:color w:val="000000"/>
                <w:kern w:val="0"/>
                <w:sz w:val="20"/>
                <w:szCs w:val="20"/>
                <w:lang w:val="en-US" w:eastAsia="zh-CN" w:bidi="ar"/>
              </w:rPr>
            </w:pPr>
            <w:r>
              <w:rPr>
                <w:rFonts w:hint="default" w:ascii="Book Antiqua" w:hAnsi="Book Antiqua" w:eastAsia="SimSun" w:cs="Book Antiqua"/>
                <w:color w:val="000000"/>
                <w:kern w:val="0"/>
                <w:sz w:val="20"/>
                <w:szCs w:val="20"/>
                <w:lang w:val="en-US" w:eastAsia="zh-CN" w:bidi="ar"/>
              </w:rPr>
              <w:t xml:space="preserve">TOMBAMENTO: 90940 </w:t>
            </w:r>
          </w:p>
          <w:p>
            <w:pPr>
              <w:keepNext w:val="0"/>
              <w:keepLines w:val="0"/>
              <w:widowControl/>
              <w:suppressLineNumbers w:val="0"/>
              <w:jc w:val="both"/>
              <w:rPr>
                <w:rFonts w:hint="default" w:ascii="Book Antiqua" w:hAnsi="Book Antiqua" w:eastAsia="SimSun" w:cs="Book Antiqua"/>
                <w:color w:val="000000"/>
                <w:kern w:val="0"/>
                <w:sz w:val="20"/>
                <w:szCs w:val="20"/>
                <w:lang w:val="en-US" w:eastAsia="zh-CN" w:bidi="ar"/>
              </w:rPr>
            </w:pPr>
            <w:r>
              <w:rPr>
                <w:rFonts w:hint="default" w:ascii="Book Antiqua" w:hAnsi="Book Antiqua" w:eastAsia="SimSun" w:cs="Book Antiqua"/>
                <w:color w:val="000000"/>
                <w:kern w:val="0"/>
                <w:sz w:val="20"/>
                <w:szCs w:val="20"/>
                <w:lang w:val="en-US" w:eastAsia="zh-CN" w:bidi="ar"/>
              </w:rPr>
              <w:t xml:space="preserve">VALOR TOTAL PARA O PERÍODO DE 12 MESES. </w:t>
            </w:r>
          </w:p>
        </w:tc>
        <w:tc>
          <w:tcPr>
            <w:tcW w:w="1728"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numPr>
                <w:ilvl w:val="0"/>
                <w:numId w:val="0"/>
              </w:numPr>
              <w:kinsoku/>
              <w:wordWrap/>
              <w:overflowPunct/>
              <w:topLinePunct w:val="0"/>
              <w:autoSpaceDE/>
              <w:autoSpaceDN/>
              <w:bidi w:val="0"/>
              <w:adjustRightInd/>
              <w:snapToGrid/>
              <w:spacing w:after="150" w:afterLines="50"/>
              <w:ind w:left="0" w:leftChars="0" w:firstLine="0" w:firstLineChars="0"/>
              <w:jc w:val="center"/>
              <w:textAlignment w:val="auto"/>
              <w:rPr>
                <w:rFonts w:hint="default" w:ascii="Book Antiqua" w:hAnsi="Book Antiqua" w:eastAsia="SimSun" w:cs="Book Antiqua"/>
                <w:b/>
                <w:bCs/>
                <w:sz w:val="24"/>
                <w:szCs w:val="24"/>
                <w:lang w:val="pt-BR"/>
              </w:rPr>
            </w:pPr>
            <w:r>
              <w:rPr>
                <w:rFonts w:hint="default" w:ascii="Book Antiqua" w:hAnsi="Book Antiqua" w:eastAsia="SimSun" w:cs="Book Antiqua"/>
                <w:b/>
                <w:bCs/>
                <w:sz w:val="24"/>
                <w:szCs w:val="24"/>
                <w:lang w:val="pt-BR"/>
              </w:rPr>
              <w:t>R$ 3.752,03</w:t>
            </w:r>
          </w:p>
        </w:tc>
      </w:tr>
      <w:tr>
        <w:tblPrEx>
          <w:tblCellMar>
            <w:top w:w="0" w:type="dxa"/>
            <w:left w:w="70" w:type="dxa"/>
            <w:bottom w:w="0" w:type="dxa"/>
            <w:right w:w="70" w:type="dxa"/>
          </w:tblCellMar>
        </w:tblPrEx>
        <w:trPr>
          <w:trHeight w:val="228" w:hRule="atLeast"/>
          <w:jc w:val="center"/>
        </w:trPr>
        <w:tc>
          <w:tcPr>
            <w:tcW w:w="756" w:type="dxa"/>
            <w:tcBorders>
              <w:top w:val="single" w:color="auto" w:sz="4" w:space="0"/>
              <w:left w:val="single" w:color="auto" w:sz="4" w:space="0"/>
              <w:bottom w:val="single" w:color="auto" w:sz="4" w:space="0"/>
              <w:right w:val="single" w:color="auto" w:sz="4" w:space="0"/>
            </w:tcBorders>
            <w:vAlign w:val="center"/>
          </w:tcPr>
          <w:p>
            <w:pPr>
              <w:tabs>
                <w:tab w:val="left" w:pos="928"/>
              </w:tabs>
              <w:suppressAutoHyphens/>
              <w:spacing w:after="120" w:afterLines="50"/>
              <w:jc w:val="center"/>
              <w:rPr>
                <w:rFonts w:hint="default" w:ascii="Book Antiqua" w:hAnsi="Book Antiqua" w:cs="Arial"/>
                <w:color w:val="000000"/>
                <w:lang w:val="pt-BR" w:eastAsia="en-US"/>
              </w:rPr>
            </w:pPr>
            <w:r>
              <w:rPr>
                <w:rFonts w:hint="default" w:ascii="Book Antiqua" w:hAnsi="Book Antiqua" w:cs="Arial"/>
                <w:color w:val="000000"/>
                <w:lang w:val="pt-BR" w:eastAsia="en-US"/>
              </w:rPr>
              <w:t>7</w:t>
            </w:r>
          </w:p>
        </w:tc>
        <w:tc>
          <w:tcPr>
            <w:tcW w:w="972" w:type="dxa"/>
            <w:tcBorders>
              <w:top w:val="single" w:color="auto" w:sz="4" w:space="0"/>
              <w:left w:val="single" w:color="auto" w:sz="4" w:space="0"/>
              <w:bottom w:val="single" w:color="auto" w:sz="4" w:space="0"/>
              <w:right w:val="single" w:color="auto" w:sz="4" w:space="0"/>
            </w:tcBorders>
            <w:vAlign w:val="center"/>
          </w:tcPr>
          <w:p>
            <w:pPr>
              <w:spacing w:after="120" w:afterLines="50"/>
              <w:jc w:val="center"/>
              <w:rPr>
                <w:rFonts w:hint="default" w:ascii="Book Antiqua" w:hAnsi="Book Antiqua" w:cs="Arial"/>
                <w:b/>
                <w:bCs/>
                <w:sz w:val="24"/>
                <w:szCs w:val="24"/>
                <w:lang w:val="pt-BR" w:eastAsia="zh-CN"/>
              </w:rPr>
            </w:pPr>
            <w:r>
              <w:rPr>
                <w:rFonts w:hint="default" w:ascii="Book Antiqua" w:hAnsi="Book Antiqua" w:cs="Arial"/>
                <w:b/>
                <w:bCs/>
                <w:sz w:val="24"/>
                <w:szCs w:val="24"/>
                <w:lang w:val="pt-BR" w:eastAsia="zh-CN"/>
              </w:rPr>
              <w:t>01</w:t>
            </w:r>
          </w:p>
        </w:tc>
        <w:tc>
          <w:tcPr>
            <w:tcW w:w="813" w:type="dxa"/>
            <w:tcBorders>
              <w:top w:val="single" w:color="auto" w:sz="4" w:space="0"/>
              <w:left w:val="single" w:color="auto" w:sz="4" w:space="0"/>
              <w:bottom w:val="single" w:color="auto" w:sz="4" w:space="0"/>
              <w:right w:val="single" w:color="auto" w:sz="4" w:space="0"/>
            </w:tcBorders>
            <w:shd w:val="clear" w:color="auto" w:fill="FFFFFF"/>
            <w:vAlign w:val="center"/>
          </w:tcPr>
          <w:p>
            <w:pPr>
              <w:spacing w:after="120" w:afterLines="50"/>
              <w:jc w:val="center"/>
              <w:rPr>
                <w:rFonts w:ascii="Book Antiqua" w:hAnsi="Book Antiqua" w:cs="Arial"/>
                <w:sz w:val="20"/>
                <w:szCs w:val="20"/>
              </w:rPr>
            </w:pPr>
            <w:r>
              <w:rPr>
                <w:rFonts w:ascii="Book Antiqua" w:hAnsi="Book Antiqua" w:cs="Arial"/>
                <w:sz w:val="20"/>
                <w:szCs w:val="20"/>
              </w:rPr>
              <w:t>Serv.</w:t>
            </w:r>
          </w:p>
        </w:tc>
        <w:tc>
          <w:tcPr>
            <w:tcW w:w="5849"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both"/>
              <w:rPr>
                <w:rFonts w:hint="default" w:ascii="Book Antiqua" w:hAnsi="Book Antiqua" w:eastAsia="SimSun" w:cs="Book Antiqua"/>
                <w:color w:val="000000"/>
                <w:kern w:val="0"/>
                <w:sz w:val="20"/>
                <w:szCs w:val="20"/>
                <w:lang w:val="en-US" w:eastAsia="zh-CN" w:bidi="ar"/>
              </w:rPr>
            </w:pPr>
            <w:r>
              <w:rPr>
                <w:rFonts w:hint="default" w:ascii="Book Antiqua" w:hAnsi="Book Antiqua" w:eastAsia="SimSun" w:cs="Book Antiqua"/>
                <w:b/>
                <w:bCs/>
                <w:color w:val="000000"/>
                <w:kern w:val="0"/>
                <w:sz w:val="20"/>
                <w:szCs w:val="20"/>
                <w:lang w:val="en-US" w:eastAsia="zh-CN" w:bidi="ar"/>
              </w:rPr>
              <w:t>SERVIÇO DE SEGURO VW NEOBUS TH 0</w:t>
            </w:r>
            <w:r>
              <w:rPr>
                <w:rFonts w:hint="default" w:ascii="Book Antiqua" w:hAnsi="Book Antiqua" w:eastAsia="SimSun" w:cs="Book Antiqua"/>
                <w:color w:val="000000"/>
                <w:kern w:val="0"/>
                <w:sz w:val="20"/>
                <w:szCs w:val="20"/>
                <w:lang w:val="en-US" w:eastAsia="zh-CN" w:bidi="ar"/>
              </w:rPr>
              <w:t xml:space="preserve"> - </w:t>
            </w:r>
            <w:r>
              <w:rPr>
                <w:rFonts w:hint="default" w:ascii="Book Antiqua" w:hAnsi="Book Antiqua" w:eastAsia="SimSun" w:cs="Book Antiqua"/>
                <w:b/>
                <w:bCs/>
                <w:color w:val="000000"/>
                <w:kern w:val="0"/>
                <w:sz w:val="20"/>
                <w:szCs w:val="20"/>
                <w:lang w:val="en-US" w:eastAsia="zh-CN" w:bidi="ar"/>
              </w:rPr>
              <w:t>ÔNIBUS</w:t>
            </w:r>
            <w:r>
              <w:rPr>
                <w:rFonts w:hint="default" w:ascii="Book Antiqua" w:hAnsi="Book Antiqua" w:eastAsia="SimSun" w:cs="Book Antiqua"/>
                <w:color w:val="000000"/>
                <w:kern w:val="0"/>
                <w:sz w:val="20"/>
                <w:szCs w:val="20"/>
                <w:lang w:val="en-US" w:eastAsia="zh-CN" w:bidi="ar"/>
              </w:rPr>
              <w:t xml:space="preserve"> PRESTAÇÃO DE SERVIÇO DE SEGURO AUTOMOTIVO NA MODALIDADE TOTAL POR VALOR DE MERCADO REFERENCIADO (CEM POR CENTO DA TABELA FIPE).VW NEOBUS TH 0 - ÔNIBUS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PLACA: PBQ</w:t>
            </w:r>
            <w:r>
              <w:rPr>
                <w:rFonts w:hint="default" w:ascii="Book Antiqua" w:hAnsi="Book Antiqua" w:eastAsia="SimSun" w:cs="Book Antiqua"/>
                <w:color w:val="000000"/>
                <w:kern w:val="0"/>
                <w:sz w:val="20"/>
                <w:szCs w:val="20"/>
                <w:lang w:val="pt-BR" w:eastAsia="zh-CN" w:bidi="ar"/>
              </w:rPr>
              <w:t xml:space="preserve"> </w:t>
            </w:r>
            <w:r>
              <w:rPr>
                <w:rFonts w:hint="default" w:ascii="Book Antiqua" w:hAnsi="Book Antiqua" w:eastAsia="SimSun" w:cs="Book Antiqua"/>
                <w:color w:val="000000"/>
                <w:kern w:val="0"/>
                <w:sz w:val="20"/>
                <w:szCs w:val="20"/>
                <w:lang w:val="en-US" w:eastAsia="zh-CN" w:bidi="ar"/>
              </w:rPr>
              <w:t xml:space="preserve">- 9446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 xml:space="preserve">RENAVAM:01185979767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 xml:space="preserve">CHASSI: 9532M52P9LR002071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 xml:space="preserve">ANO/MODELO: 2019/2020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 xml:space="preserve">COR: BRANCO </w:t>
            </w:r>
          </w:p>
          <w:p>
            <w:pPr>
              <w:keepNext w:val="0"/>
              <w:keepLines w:val="0"/>
              <w:widowControl/>
              <w:suppressLineNumbers w:val="0"/>
              <w:jc w:val="both"/>
              <w:rPr>
                <w:rFonts w:hint="default" w:ascii="Book Antiqua" w:hAnsi="Book Antiqua" w:cs="Book Antiqua"/>
                <w:sz w:val="20"/>
                <w:szCs w:val="20"/>
              </w:rPr>
            </w:pPr>
            <w:r>
              <w:rPr>
                <w:rFonts w:hint="default" w:ascii="Book Antiqua" w:hAnsi="Book Antiqua" w:eastAsia="SimSun" w:cs="Book Antiqua"/>
                <w:color w:val="000000"/>
                <w:kern w:val="0"/>
                <w:sz w:val="20"/>
                <w:szCs w:val="20"/>
                <w:lang w:val="en-US" w:eastAsia="zh-CN" w:bidi="ar"/>
              </w:rPr>
              <w:t>COMBUSTÍVEL:</w:t>
            </w:r>
            <w:r>
              <w:rPr>
                <w:rFonts w:hint="default" w:ascii="Book Antiqua" w:hAnsi="Book Antiqua" w:eastAsia="SimSun" w:cs="Book Antiqua"/>
                <w:color w:val="000000"/>
                <w:kern w:val="0"/>
                <w:sz w:val="20"/>
                <w:szCs w:val="20"/>
                <w:lang w:val="pt-BR" w:eastAsia="zh-CN" w:bidi="ar"/>
              </w:rPr>
              <w:t xml:space="preserve"> </w:t>
            </w:r>
            <w:r>
              <w:rPr>
                <w:rFonts w:hint="default" w:ascii="Book Antiqua" w:hAnsi="Book Antiqua" w:eastAsia="SimSun" w:cs="Book Antiqua"/>
                <w:color w:val="000000"/>
                <w:kern w:val="0"/>
                <w:sz w:val="20"/>
                <w:szCs w:val="20"/>
                <w:lang w:val="en-US" w:eastAsia="zh-CN" w:bidi="ar"/>
              </w:rPr>
              <w:t xml:space="preserve">DIESEL </w:t>
            </w:r>
          </w:p>
          <w:p>
            <w:pPr>
              <w:keepNext w:val="0"/>
              <w:keepLines w:val="0"/>
              <w:widowControl/>
              <w:suppressLineNumbers w:val="0"/>
              <w:jc w:val="both"/>
              <w:rPr>
                <w:rFonts w:hint="default" w:ascii="Book Antiqua" w:hAnsi="Book Antiqua" w:eastAsia="SimSun" w:cs="Book Antiqua"/>
                <w:color w:val="000000"/>
                <w:kern w:val="0"/>
                <w:sz w:val="20"/>
                <w:szCs w:val="20"/>
                <w:lang w:val="en-US" w:eastAsia="zh-CN" w:bidi="ar"/>
              </w:rPr>
            </w:pPr>
            <w:r>
              <w:rPr>
                <w:rFonts w:hint="default" w:ascii="Book Antiqua" w:hAnsi="Book Antiqua" w:eastAsia="SimSun" w:cs="Book Antiqua"/>
                <w:color w:val="000000"/>
                <w:kern w:val="0"/>
                <w:sz w:val="20"/>
                <w:szCs w:val="20"/>
                <w:lang w:val="en-US" w:eastAsia="zh-CN" w:bidi="ar"/>
              </w:rPr>
              <w:t xml:space="preserve">TOMBAMENTO: 92050 </w:t>
            </w:r>
          </w:p>
          <w:p>
            <w:pPr>
              <w:keepNext w:val="0"/>
              <w:keepLines w:val="0"/>
              <w:widowControl/>
              <w:suppressLineNumbers w:val="0"/>
              <w:jc w:val="both"/>
              <w:rPr>
                <w:rFonts w:hint="default" w:ascii="Book Antiqua" w:hAnsi="Book Antiqua" w:eastAsia="SimSun" w:cs="Book Antiqua"/>
                <w:color w:val="000000"/>
                <w:kern w:val="0"/>
                <w:sz w:val="20"/>
                <w:szCs w:val="20"/>
                <w:lang w:val="en-US" w:eastAsia="zh-CN" w:bidi="ar"/>
              </w:rPr>
            </w:pPr>
            <w:r>
              <w:rPr>
                <w:rFonts w:hint="default" w:ascii="Book Antiqua" w:hAnsi="Book Antiqua" w:eastAsia="SimSun" w:cs="Book Antiqua"/>
                <w:color w:val="000000"/>
                <w:kern w:val="0"/>
                <w:sz w:val="20"/>
                <w:szCs w:val="20"/>
                <w:lang w:val="en-US" w:eastAsia="zh-CN" w:bidi="ar"/>
              </w:rPr>
              <w:t xml:space="preserve">VALOR TOTAL PARA O PERÍODO DE 12 MESES. </w:t>
            </w:r>
          </w:p>
        </w:tc>
        <w:tc>
          <w:tcPr>
            <w:tcW w:w="1728"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numPr>
                <w:ilvl w:val="0"/>
                <w:numId w:val="0"/>
              </w:numPr>
              <w:kinsoku/>
              <w:wordWrap/>
              <w:overflowPunct/>
              <w:topLinePunct w:val="0"/>
              <w:autoSpaceDE/>
              <w:autoSpaceDN/>
              <w:bidi w:val="0"/>
              <w:adjustRightInd/>
              <w:snapToGrid/>
              <w:spacing w:after="150" w:afterLines="50"/>
              <w:ind w:left="0" w:leftChars="0" w:firstLine="0" w:firstLineChars="0"/>
              <w:jc w:val="center"/>
              <w:textAlignment w:val="auto"/>
              <w:rPr>
                <w:rFonts w:hint="default" w:ascii="Book Antiqua" w:hAnsi="Book Antiqua" w:eastAsia="SimSun" w:cs="Book Antiqua"/>
                <w:b/>
                <w:bCs/>
                <w:sz w:val="24"/>
                <w:szCs w:val="24"/>
                <w:lang w:val="pt-BR"/>
              </w:rPr>
            </w:pPr>
            <w:r>
              <w:rPr>
                <w:rFonts w:hint="default" w:ascii="Book Antiqua" w:hAnsi="Book Antiqua" w:eastAsia="SimSun" w:cs="Book Antiqua"/>
                <w:b/>
                <w:bCs/>
                <w:sz w:val="24"/>
                <w:szCs w:val="24"/>
                <w:lang w:val="pt-BR"/>
              </w:rPr>
              <w:t>R$ 4.309,77</w:t>
            </w:r>
          </w:p>
        </w:tc>
      </w:tr>
    </w:tbl>
    <w:p>
      <w:pPr>
        <w:pStyle w:val="47"/>
        <w:keepNext w:val="0"/>
        <w:keepLines w:val="0"/>
        <w:pageBreakBefore w:val="0"/>
        <w:widowControl/>
        <w:numPr>
          <w:ilvl w:val="0"/>
          <w:numId w:val="0"/>
        </w:numPr>
        <w:kinsoku/>
        <w:wordWrap/>
        <w:overflowPunct/>
        <w:topLinePunct w:val="0"/>
        <w:autoSpaceDE/>
        <w:autoSpaceDN/>
        <w:bidi w:val="0"/>
        <w:adjustRightInd/>
        <w:spacing w:after="120"/>
        <w:ind w:leftChars="0"/>
        <w:jc w:val="both"/>
        <w:textAlignment w:val="auto"/>
        <w:rPr>
          <w:rFonts w:ascii="Book Antiqua" w:hAnsi="Book Antiqua"/>
          <w:b/>
          <w:bCs/>
          <w:sz w:val="22"/>
          <w:szCs w:val="22"/>
        </w:rPr>
      </w:pPr>
    </w:p>
    <w:p>
      <w:pPr>
        <w:keepNext w:val="0"/>
        <w:keepLines w:val="0"/>
        <w:pageBreakBefore w:val="0"/>
        <w:widowControl/>
        <w:numPr>
          <w:ilvl w:val="2"/>
          <w:numId w:val="5"/>
        </w:numPr>
        <w:suppressLineNumbers w:val="0"/>
        <w:kinsoku/>
        <w:wordWrap/>
        <w:overflowPunct/>
        <w:topLinePunct w:val="0"/>
        <w:autoSpaceDE/>
        <w:autoSpaceDN/>
        <w:bidi w:val="0"/>
        <w:adjustRightInd/>
        <w:snapToGrid/>
        <w:spacing w:after="120"/>
        <w:ind w:left="0" w:leftChars="0" w:firstLine="0" w:firstLineChars="0"/>
        <w:jc w:val="left"/>
        <w:textAlignment w:val="auto"/>
        <w:rPr>
          <w:rFonts w:ascii="Book Antiqua" w:hAnsi="Book Antiqua"/>
          <w:b/>
          <w:bCs/>
          <w:sz w:val="22"/>
          <w:szCs w:val="22"/>
        </w:rPr>
      </w:pPr>
      <w:r>
        <w:rPr>
          <w:rFonts w:hint="default" w:ascii="Book Antiqua" w:hAnsi="Book Antiqua" w:eastAsia="SimSun" w:cs="Book Antiqua"/>
          <w:color w:val="000000"/>
          <w:kern w:val="0"/>
          <w:sz w:val="22"/>
          <w:szCs w:val="22"/>
          <w:lang w:val="en-US" w:eastAsia="zh-CN" w:bidi="ar"/>
        </w:rPr>
        <w:t>O valor da franquia não será objeto de licitação.</w:t>
      </w:r>
    </w:p>
    <w:p>
      <w:pPr>
        <w:pStyle w:val="47"/>
        <w:keepNext w:val="0"/>
        <w:keepLines w:val="0"/>
        <w:pageBreakBefore w:val="0"/>
        <w:widowControl/>
        <w:numPr>
          <w:ilvl w:val="1"/>
          <w:numId w:val="5"/>
        </w:numPr>
        <w:kinsoku/>
        <w:wordWrap/>
        <w:overflowPunct/>
        <w:topLinePunct w:val="0"/>
        <w:autoSpaceDE/>
        <w:autoSpaceDN/>
        <w:bidi w:val="0"/>
        <w:adjustRightInd/>
        <w:snapToGrid/>
        <w:spacing w:after="120"/>
        <w:ind w:left="0" w:leftChars="0" w:firstLine="0" w:firstLineChars="0"/>
        <w:jc w:val="both"/>
        <w:textAlignment w:val="auto"/>
        <w:rPr>
          <w:rFonts w:ascii="Book Antiqua" w:hAnsi="Book Antiqua"/>
          <w:b/>
          <w:bCs/>
          <w:sz w:val="22"/>
          <w:szCs w:val="22"/>
        </w:rPr>
      </w:pPr>
      <w:r>
        <w:rPr>
          <w:rFonts w:ascii="Book Antiqua" w:hAnsi="Book Antiqua"/>
          <w:b/>
          <w:bCs/>
          <w:sz w:val="22"/>
          <w:szCs w:val="22"/>
        </w:rPr>
        <w:t>Em</w:t>
      </w:r>
      <w:r>
        <w:rPr>
          <w:rFonts w:ascii="Book Antiqua" w:hAnsi="Book Antiqua" w:cs="Book Antiqua"/>
          <w:b/>
          <w:bCs/>
          <w:sz w:val="22"/>
          <w:szCs w:val="22"/>
        </w:rPr>
        <w:t xml:space="preserve"> caso de discordância existente entre as especificações deste objeto descritas no endereço eletrônico </w:t>
      </w:r>
      <w:r>
        <w:rPr>
          <w:rFonts w:ascii="Book Antiqua" w:hAnsi="Book Antiqua" w:cs="Book Antiqua"/>
          <w:b/>
          <w:bCs/>
          <w:color w:val="000000" w:themeColor="text1"/>
          <w:sz w:val="22"/>
          <w:szCs w:val="22"/>
        </w:rPr>
        <w:t xml:space="preserve">– </w:t>
      </w:r>
      <w:r>
        <w:rPr>
          <w:rFonts w:ascii="Book Antiqua" w:hAnsi="Book Antiqua" w:eastAsia="SimSun" w:cs="Book Antiqua"/>
          <w:b/>
          <w:bCs/>
          <w:sz w:val="22"/>
          <w:szCs w:val="22"/>
        </w:rPr>
        <w:t>COMPRASNET/CATMAT</w:t>
      </w:r>
      <w:r>
        <w:rPr>
          <w:rFonts w:ascii="Book Antiqua" w:hAnsi="Book Antiqua" w:cs="Book Antiqua"/>
          <w:b/>
          <w:bCs/>
          <w:color w:val="000000" w:themeColor="text1"/>
          <w:sz w:val="22"/>
          <w:szCs w:val="22"/>
        </w:rPr>
        <w:t>, e as especif</w:t>
      </w:r>
      <w:r>
        <w:rPr>
          <w:rFonts w:ascii="Book Antiqua" w:hAnsi="Book Antiqua"/>
          <w:b/>
          <w:bCs/>
          <w:color w:val="000000" w:themeColor="text1"/>
          <w:sz w:val="22"/>
          <w:szCs w:val="22"/>
        </w:rPr>
        <w:t>icações</w:t>
      </w:r>
      <w:r>
        <w:rPr>
          <w:rFonts w:ascii="Book Antiqua" w:hAnsi="Book Antiqua"/>
          <w:b/>
          <w:bCs/>
          <w:sz w:val="22"/>
          <w:szCs w:val="22"/>
        </w:rPr>
        <w:t xml:space="preserve"> constantes no ANEXO I deste Edital – Termo de Referência, prevalecerão às últimas;</w:t>
      </w:r>
    </w:p>
    <w:p>
      <w:pPr>
        <w:pStyle w:val="47"/>
        <w:keepNext w:val="0"/>
        <w:keepLines w:val="0"/>
        <w:pageBreakBefore w:val="0"/>
        <w:widowControl/>
        <w:numPr>
          <w:ilvl w:val="0"/>
          <w:numId w:val="0"/>
        </w:numPr>
        <w:kinsoku/>
        <w:wordWrap/>
        <w:overflowPunct/>
        <w:topLinePunct w:val="0"/>
        <w:autoSpaceDE/>
        <w:autoSpaceDN/>
        <w:bidi w:val="0"/>
        <w:adjustRightInd/>
        <w:snapToGrid/>
        <w:spacing w:after="120"/>
        <w:ind w:leftChars="0"/>
        <w:jc w:val="both"/>
        <w:textAlignment w:val="auto"/>
        <w:rPr>
          <w:rFonts w:ascii="Book Antiqua" w:hAnsi="Book Antiqua"/>
          <w:b/>
          <w:bCs/>
          <w:sz w:val="22"/>
          <w:szCs w:val="22"/>
        </w:rPr>
      </w:pPr>
    </w:p>
    <w:p>
      <w:pPr>
        <w:pStyle w:val="47"/>
        <w:keepNext w:val="0"/>
        <w:keepLines w:val="0"/>
        <w:pageBreakBefore w:val="0"/>
        <w:widowControl/>
        <w:numPr>
          <w:ilvl w:val="1"/>
          <w:numId w:val="5"/>
        </w:numPr>
        <w:kinsoku/>
        <w:wordWrap/>
        <w:overflowPunct/>
        <w:topLinePunct w:val="0"/>
        <w:autoSpaceDE/>
        <w:autoSpaceDN/>
        <w:bidi w:val="0"/>
        <w:adjustRightInd/>
        <w:spacing w:after="120"/>
        <w:ind w:left="0" w:leftChars="0" w:firstLine="0" w:firstLineChars="0"/>
        <w:jc w:val="both"/>
        <w:textAlignment w:val="auto"/>
        <w:rPr>
          <w:rFonts w:ascii="Book Antiqua" w:hAnsi="Book Antiqua" w:cs="Book Antiqua"/>
          <w:b w:val="0"/>
          <w:bCs w:val="0"/>
          <w:highlight w:val="none"/>
          <w:u w:val="single"/>
        </w:rPr>
      </w:pPr>
      <w:r>
        <w:rPr>
          <w:rFonts w:ascii="Book Antiqua" w:hAnsi="Book Antiqua"/>
          <w:sz w:val="22"/>
          <w:highlight w:val="lightGray"/>
          <w:u w:val="single"/>
        </w:rPr>
        <w:t>DO</w:t>
      </w:r>
      <w:r>
        <w:rPr>
          <w:rFonts w:hint="default" w:ascii="Book Antiqua" w:hAnsi="Book Antiqua"/>
          <w:sz w:val="22"/>
          <w:highlight w:val="lightGray"/>
          <w:u w:val="single"/>
          <w:lang w:val="pt-BR"/>
        </w:rPr>
        <w:t>S</w:t>
      </w:r>
      <w:r>
        <w:rPr>
          <w:rFonts w:ascii="Book Antiqua" w:hAnsi="Book Antiqua"/>
          <w:sz w:val="22"/>
          <w:highlight w:val="lightGray"/>
          <w:u w:val="single"/>
        </w:rPr>
        <w:t xml:space="preserve"> </w:t>
      </w:r>
      <w:r>
        <w:rPr>
          <w:rFonts w:ascii="Book Antiqua" w:hAnsi="Book Antiqua"/>
          <w:bCs/>
          <w:sz w:val="22"/>
          <w:highlight w:val="lightGray"/>
          <w:u w:val="single"/>
        </w:rPr>
        <w:t>PRAZO</w:t>
      </w:r>
      <w:r>
        <w:rPr>
          <w:rFonts w:hint="default" w:ascii="Book Antiqua" w:hAnsi="Book Antiqua"/>
          <w:bCs/>
          <w:sz w:val="22"/>
          <w:highlight w:val="lightGray"/>
          <w:u w:val="single"/>
          <w:lang w:val="pt-BR"/>
        </w:rPr>
        <w:t>S</w:t>
      </w:r>
      <w:r>
        <w:rPr>
          <w:rFonts w:ascii="Book Antiqua" w:hAnsi="Book Antiqua"/>
          <w:bCs/>
          <w:sz w:val="22"/>
          <w:highlight w:val="lightGray"/>
          <w:u w:val="single"/>
        </w:rPr>
        <w:t>/</w:t>
      </w:r>
      <w:r>
        <w:rPr>
          <w:rFonts w:ascii="Book Antiqua" w:hAnsi="Book Antiqua"/>
          <w:sz w:val="22"/>
          <w:highlight w:val="lightGray"/>
          <w:u w:val="single"/>
        </w:rPr>
        <w:t>LOCAL E CONDIÇÕES DE RECEBIMENTO</w:t>
      </w:r>
      <w:r>
        <w:rPr>
          <w:rFonts w:ascii="Book Antiqua" w:hAnsi="Book Antiqua"/>
          <w:sz w:val="22"/>
        </w:rPr>
        <w:t xml:space="preserve"> </w:t>
      </w:r>
      <w:r>
        <w:rPr>
          <w:rFonts w:ascii="Book Antiqua" w:hAnsi="Book Antiqua"/>
          <w:b w:val="0"/>
          <w:sz w:val="22"/>
          <w:u w:val="single"/>
        </w:rPr>
        <w:t>e demais obrigações</w:t>
      </w:r>
      <w:r>
        <w:rPr>
          <w:rFonts w:ascii="Book Antiqua" w:hAnsi="Book Antiqua"/>
          <w:b w:val="0"/>
          <w:sz w:val="22"/>
        </w:rPr>
        <w:t xml:space="preserve"> ficam aqueles estabelecidos no anexo I deste Edital – Termo de Referência, o qual foi devidamente aprovado pel</w:t>
      </w:r>
      <w:r>
        <w:rPr>
          <w:rFonts w:hint="default" w:ascii="Book Antiqua" w:hAnsi="Book Antiqua"/>
          <w:b w:val="0"/>
          <w:sz w:val="22"/>
          <w:lang w:val="pt-BR"/>
        </w:rPr>
        <w:t>a</w:t>
      </w:r>
      <w:r>
        <w:rPr>
          <w:rFonts w:ascii="Book Antiqua" w:hAnsi="Book Antiqua"/>
          <w:b w:val="0"/>
          <w:sz w:val="22"/>
        </w:rPr>
        <w:t xml:space="preserve"> ordenador</w:t>
      </w:r>
      <w:r>
        <w:rPr>
          <w:rFonts w:hint="default" w:ascii="Book Antiqua" w:hAnsi="Book Antiqua"/>
          <w:b w:val="0"/>
          <w:sz w:val="22"/>
          <w:lang w:val="pt-BR"/>
        </w:rPr>
        <w:t>a</w:t>
      </w:r>
      <w:r>
        <w:rPr>
          <w:rFonts w:ascii="Book Antiqua" w:hAnsi="Book Antiqua"/>
          <w:b w:val="0"/>
          <w:sz w:val="22"/>
        </w:rPr>
        <w:t xml:space="preserve"> de despesa do órgão requerente;</w:t>
      </w:r>
    </w:p>
    <w:p>
      <w:pPr>
        <w:pStyle w:val="47"/>
        <w:keepNext w:val="0"/>
        <w:keepLines w:val="0"/>
        <w:pageBreakBefore w:val="0"/>
        <w:widowControl/>
        <w:numPr>
          <w:ilvl w:val="2"/>
          <w:numId w:val="5"/>
        </w:numPr>
        <w:kinsoku/>
        <w:wordWrap/>
        <w:overflowPunct/>
        <w:topLinePunct w:val="0"/>
        <w:autoSpaceDE/>
        <w:autoSpaceDN/>
        <w:bidi w:val="0"/>
        <w:adjustRightInd/>
        <w:spacing w:after="120"/>
        <w:ind w:left="4" w:leftChars="0" w:hanging="4" w:firstLineChars="0"/>
        <w:jc w:val="both"/>
        <w:textAlignment w:val="auto"/>
        <w:rPr>
          <w:rFonts w:hint="default" w:ascii="Book Antiqua" w:hAnsi="Book Antiqua" w:cs="Book Antiqua"/>
          <w:b w:val="0"/>
          <w:bCs/>
          <w:highlight w:val="none"/>
          <w:u w:val="single"/>
          <w:lang w:val="pt-BR"/>
        </w:rPr>
      </w:pPr>
      <w:r>
        <w:rPr>
          <w:rFonts w:hint="default" w:ascii="Book Antiqua" w:hAnsi="Book Antiqua" w:cs="Book Antiqua"/>
          <w:b/>
          <w:bCs/>
          <w:highlight w:val="none"/>
          <w:u w:val="single"/>
          <w:lang w:val="pt-BR"/>
        </w:rPr>
        <w:t>DO PRAZO;</w:t>
      </w:r>
      <w:r>
        <w:rPr>
          <w:rFonts w:hint="default" w:ascii="Book Antiqua" w:hAnsi="Book Antiqua" w:cs="Book Antiqua"/>
          <w:b/>
          <w:bCs/>
          <w:highlight w:val="none"/>
          <w:u w:val="none"/>
          <w:lang w:val="pt-BR"/>
        </w:rPr>
        <w:t xml:space="preserve"> </w:t>
      </w:r>
      <w:r>
        <w:rPr>
          <w:rFonts w:hint="default" w:ascii="Book Antiqua" w:hAnsi="Book Antiqua" w:eastAsia="SimSun" w:cs="Book Antiqua"/>
          <w:color w:val="000000"/>
          <w:kern w:val="0"/>
          <w:sz w:val="22"/>
          <w:szCs w:val="22"/>
          <w:lang w:val="en-US" w:eastAsia="zh-CN" w:bidi="ar"/>
        </w:rPr>
        <w:t>As APÓLICES DO SEGURO deverão ser disponibilizadas à SEMDES</w:t>
      </w:r>
      <w:r>
        <w:rPr>
          <w:rFonts w:hint="default" w:ascii="Book Antiqua" w:hAnsi="Book Antiqua" w:eastAsia="SimSun" w:cs="Book Antiqua"/>
          <w:color w:val="000000"/>
          <w:kern w:val="0"/>
          <w:sz w:val="22"/>
          <w:szCs w:val="22"/>
          <w:lang w:val="pt-BR" w:eastAsia="zh-CN" w:bidi="ar"/>
        </w:rPr>
        <w:t xml:space="preserve"> </w:t>
      </w:r>
      <w:r>
        <w:rPr>
          <w:rFonts w:hint="default" w:ascii="Book Antiqua" w:hAnsi="Book Antiqua" w:eastAsia="SimSun" w:cs="Book Antiqua"/>
          <w:color w:val="000000"/>
          <w:kern w:val="0"/>
          <w:sz w:val="22"/>
          <w:szCs w:val="22"/>
          <w:lang w:val="en-US" w:eastAsia="zh-CN" w:bidi="ar"/>
        </w:rPr>
        <w:t>no prazo máximo de 30 (trinta) dias</w:t>
      </w:r>
      <w:r>
        <w:rPr>
          <w:rFonts w:hint="default" w:ascii="Book Antiqua" w:hAnsi="Book Antiqua" w:eastAsia="SimSun" w:cs="Book Antiqua"/>
          <w:color w:val="000000"/>
          <w:kern w:val="0"/>
          <w:sz w:val="22"/>
          <w:szCs w:val="22"/>
          <w:lang w:val="pt-BR" w:eastAsia="zh-CN" w:bidi="ar"/>
        </w:rPr>
        <w:t>, conforme</w:t>
      </w:r>
      <w:r>
        <w:rPr>
          <w:rFonts w:hint="default" w:ascii="Book Antiqua" w:hAnsi="Book Antiqua" w:eastAsia="SimSun" w:cs="Book Antiqua"/>
          <w:b w:val="0"/>
          <w:bCs/>
          <w:color w:val="000000"/>
          <w:kern w:val="0"/>
          <w:sz w:val="22"/>
          <w:szCs w:val="22"/>
          <w:lang w:val="pt-BR" w:eastAsia="zh-CN" w:bidi="ar"/>
        </w:rPr>
        <w:t xml:space="preserve"> condições no </w:t>
      </w:r>
      <w:r>
        <w:rPr>
          <w:rFonts w:hint="default" w:ascii="Book Antiqua" w:hAnsi="Book Antiqua" w:eastAsia="SimSun" w:cs="Book Antiqua"/>
          <w:b/>
          <w:bCs w:val="0"/>
          <w:color w:val="000000"/>
          <w:kern w:val="0"/>
          <w:sz w:val="22"/>
          <w:szCs w:val="22"/>
          <w:lang w:val="pt-BR" w:eastAsia="zh-CN" w:bidi="ar"/>
        </w:rPr>
        <w:t xml:space="preserve">item 13 </w:t>
      </w:r>
      <w:r>
        <w:rPr>
          <w:rFonts w:hint="default" w:ascii="Book Antiqua" w:hAnsi="Book Antiqua" w:eastAsia="SimSun" w:cs="Book Antiqua"/>
          <w:b w:val="0"/>
          <w:bCs/>
          <w:color w:val="000000"/>
          <w:kern w:val="0"/>
          <w:sz w:val="22"/>
          <w:szCs w:val="22"/>
          <w:lang w:val="pt-BR" w:eastAsia="zh-CN" w:bidi="ar"/>
        </w:rPr>
        <w:t xml:space="preserve">do Termo de Referência - Anexo I deste Edital </w:t>
      </w:r>
    </w:p>
    <w:p>
      <w:pPr>
        <w:pStyle w:val="47"/>
        <w:keepNext w:val="0"/>
        <w:keepLines w:val="0"/>
        <w:pageBreakBefore w:val="0"/>
        <w:widowControl/>
        <w:numPr>
          <w:ilvl w:val="2"/>
          <w:numId w:val="5"/>
        </w:numPr>
        <w:kinsoku/>
        <w:wordWrap/>
        <w:overflowPunct/>
        <w:topLinePunct w:val="0"/>
        <w:autoSpaceDE/>
        <w:autoSpaceDN/>
        <w:bidi w:val="0"/>
        <w:adjustRightInd/>
        <w:spacing w:after="120"/>
        <w:ind w:left="4" w:leftChars="0" w:hanging="4" w:firstLineChars="0"/>
        <w:jc w:val="both"/>
        <w:textAlignment w:val="auto"/>
        <w:rPr>
          <w:rFonts w:ascii="Book Antiqua" w:hAnsi="Book Antiqua" w:cs="Book Antiqua"/>
          <w:b w:val="0"/>
          <w:bCs w:val="0"/>
          <w:highlight w:val="none"/>
          <w:u w:val="single"/>
        </w:rPr>
      </w:pPr>
      <w:r>
        <w:rPr>
          <w:rFonts w:hint="default" w:ascii="Book Antiqua" w:hAnsi="Book Antiqua" w:cs="Book Antiqua"/>
          <w:b/>
          <w:bCs/>
          <w:highlight w:val="none"/>
          <w:u w:val="single"/>
          <w:lang w:val="pt-BR"/>
        </w:rPr>
        <w:t>DO MODELO DE EXECUÇÃO DOS SERVIÇOS;</w:t>
      </w:r>
      <w:r>
        <w:rPr>
          <w:rFonts w:hint="default" w:ascii="Book Antiqua" w:hAnsi="Book Antiqua" w:cs="Book Antiqua"/>
          <w:b w:val="0"/>
          <w:bCs w:val="0"/>
          <w:highlight w:val="none"/>
          <w:u w:val="single"/>
          <w:lang w:val="pt-BR"/>
        </w:rPr>
        <w:t xml:space="preserve"> conforme </w:t>
      </w:r>
      <w:r>
        <w:rPr>
          <w:rFonts w:hint="default" w:ascii="Book Antiqua" w:hAnsi="Book Antiqua" w:cs="Book Antiqua"/>
          <w:b/>
          <w:bCs/>
          <w:highlight w:val="none"/>
          <w:u w:val="single"/>
          <w:lang w:val="pt-BR"/>
        </w:rPr>
        <w:t>item 14</w:t>
      </w:r>
      <w:r>
        <w:rPr>
          <w:rFonts w:hint="default" w:ascii="Book Antiqua" w:hAnsi="Book Antiqua" w:cs="Book Antiqua"/>
          <w:b w:val="0"/>
          <w:bCs w:val="0"/>
          <w:highlight w:val="none"/>
          <w:u w:val="single"/>
          <w:lang w:val="pt-BR"/>
        </w:rPr>
        <w:t xml:space="preserve"> do Termo de Referência - Anexo I deste Edital.</w:t>
      </w:r>
    </w:p>
    <w:p>
      <w:pPr>
        <w:pStyle w:val="47"/>
        <w:keepNext w:val="0"/>
        <w:keepLines w:val="0"/>
        <w:pageBreakBefore w:val="0"/>
        <w:widowControl/>
        <w:numPr>
          <w:ilvl w:val="2"/>
          <w:numId w:val="5"/>
        </w:numPr>
        <w:kinsoku/>
        <w:wordWrap/>
        <w:overflowPunct/>
        <w:topLinePunct w:val="0"/>
        <w:autoSpaceDE/>
        <w:autoSpaceDN/>
        <w:bidi w:val="0"/>
        <w:adjustRightInd/>
        <w:spacing w:after="120"/>
        <w:ind w:left="4" w:leftChars="0" w:hanging="4" w:firstLineChars="0"/>
        <w:jc w:val="both"/>
        <w:textAlignment w:val="auto"/>
        <w:rPr>
          <w:rFonts w:ascii="Book Antiqua" w:hAnsi="Book Antiqua" w:cs="Book Antiqua"/>
          <w:b/>
          <w:bCs/>
          <w:highlight w:val="none"/>
          <w:u w:val="single"/>
        </w:rPr>
      </w:pPr>
      <w:r>
        <w:rPr>
          <w:rFonts w:hint="default" w:ascii="Book Antiqua" w:hAnsi="Book Antiqua" w:cs="Book Antiqua"/>
          <w:b/>
          <w:bCs/>
          <w:highlight w:val="none"/>
          <w:u w:val="single"/>
          <w:lang w:val="pt-BR"/>
        </w:rPr>
        <w:t xml:space="preserve">DA COBERTURA E ASSISTÊNCIA; </w:t>
      </w:r>
      <w:r>
        <w:rPr>
          <w:rFonts w:hint="default" w:ascii="Book Antiqua" w:hAnsi="Book Antiqua" w:cs="Book Antiqua"/>
          <w:b w:val="0"/>
          <w:bCs w:val="0"/>
          <w:highlight w:val="none"/>
          <w:u w:val="single"/>
          <w:lang w:val="pt-BR"/>
        </w:rPr>
        <w:t>conforme</w:t>
      </w:r>
      <w:r>
        <w:rPr>
          <w:rFonts w:hint="default" w:ascii="Book Antiqua" w:hAnsi="Book Antiqua" w:cs="Book Antiqua"/>
          <w:b/>
          <w:bCs/>
          <w:highlight w:val="none"/>
          <w:u w:val="single"/>
          <w:lang w:val="pt-BR"/>
        </w:rPr>
        <w:t xml:space="preserve"> item 15. e subitens </w:t>
      </w:r>
      <w:r>
        <w:rPr>
          <w:rFonts w:hint="default" w:ascii="Book Antiqua" w:hAnsi="Book Antiqua" w:cs="Book Antiqua"/>
          <w:b w:val="0"/>
          <w:bCs w:val="0"/>
          <w:highlight w:val="none"/>
          <w:u w:val="single"/>
          <w:lang w:val="pt-BR"/>
        </w:rPr>
        <w:t>do Termo de Referência - Anexo I deste Edital.</w:t>
      </w:r>
    </w:p>
    <w:p>
      <w:pPr>
        <w:pStyle w:val="47"/>
        <w:keepNext w:val="0"/>
        <w:keepLines w:val="0"/>
        <w:pageBreakBefore w:val="0"/>
        <w:widowControl/>
        <w:numPr>
          <w:ilvl w:val="2"/>
          <w:numId w:val="5"/>
        </w:numPr>
        <w:kinsoku/>
        <w:wordWrap/>
        <w:overflowPunct/>
        <w:topLinePunct w:val="0"/>
        <w:autoSpaceDE/>
        <w:autoSpaceDN/>
        <w:bidi w:val="0"/>
        <w:adjustRightInd/>
        <w:spacing w:after="120"/>
        <w:ind w:left="4" w:leftChars="0" w:hanging="4" w:firstLineChars="0"/>
        <w:jc w:val="both"/>
        <w:textAlignment w:val="auto"/>
        <w:rPr>
          <w:rFonts w:ascii="Book Antiqua" w:hAnsi="Book Antiqua" w:cs="Book Antiqua"/>
          <w:b/>
          <w:u w:val="single"/>
        </w:rPr>
      </w:pPr>
      <w:r>
        <w:rPr>
          <w:rFonts w:ascii="Book Antiqua" w:hAnsi="Book Antiqua" w:cs="Book Antiqua"/>
          <w:b/>
          <w:u w:val="single"/>
        </w:rPr>
        <w:t xml:space="preserve">Condições de Recebimento e Critérios de Aceitabilidades dos Objetos - </w:t>
      </w:r>
      <w:r>
        <w:rPr>
          <w:rFonts w:ascii="Book Antiqua" w:hAnsi="Book Antiqua" w:cs="Book Antiqua"/>
          <w:bCs/>
          <w:u w:val="single"/>
        </w:rPr>
        <w:t xml:space="preserve">Conforme </w:t>
      </w:r>
      <w:r>
        <w:rPr>
          <w:rFonts w:ascii="Book Antiqua" w:hAnsi="Book Antiqua" w:cs="Book Antiqua"/>
          <w:b/>
          <w:u w:val="single"/>
        </w:rPr>
        <w:t xml:space="preserve">item </w:t>
      </w:r>
      <w:r>
        <w:rPr>
          <w:rFonts w:hint="default" w:ascii="Book Antiqua" w:hAnsi="Book Antiqua" w:cs="Book Antiqua"/>
          <w:b/>
          <w:u w:val="single"/>
          <w:lang w:val="pt-BR"/>
        </w:rPr>
        <w:t>5</w:t>
      </w:r>
      <w:r>
        <w:rPr>
          <w:rFonts w:ascii="Book Antiqua" w:hAnsi="Book Antiqua" w:cs="Book Antiqua"/>
          <w:bCs/>
          <w:u w:val="single"/>
        </w:rPr>
        <w:t xml:space="preserve"> do Termo de Referência – Anexo I deste Edital.</w:t>
      </w:r>
    </w:p>
    <w:p>
      <w:pPr>
        <w:pStyle w:val="47"/>
        <w:keepNext w:val="0"/>
        <w:keepLines w:val="0"/>
        <w:pageBreakBefore w:val="0"/>
        <w:widowControl/>
        <w:numPr>
          <w:ilvl w:val="0"/>
          <w:numId w:val="0"/>
        </w:numPr>
        <w:kinsoku/>
        <w:wordWrap/>
        <w:overflowPunct/>
        <w:topLinePunct w:val="0"/>
        <w:autoSpaceDE/>
        <w:autoSpaceDN/>
        <w:bidi w:val="0"/>
        <w:adjustRightInd/>
        <w:spacing w:after="120"/>
        <w:ind w:leftChars="0"/>
        <w:jc w:val="both"/>
        <w:textAlignment w:val="auto"/>
        <w:rPr>
          <w:rFonts w:ascii="Book Antiqua" w:hAnsi="Book Antiqua" w:cs="Book Antiqua"/>
          <w:bCs/>
          <w:u w:val="single"/>
        </w:rPr>
      </w:pPr>
    </w:p>
    <w:p>
      <w:pPr>
        <w:pStyle w:val="58"/>
        <w:widowControl w:val="0"/>
        <w:numPr>
          <w:ilvl w:val="0"/>
          <w:numId w:val="7"/>
        </w:numPr>
        <w:pBdr>
          <w:top w:val="single" w:color="auto" w:sz="4" w:space="1"/>
          <w:left w:val="single" w:color="auto" w:sz="4" w:space="4"/>
          <w:bottom w:val="single" w:color="auto" w:sz="4" w:space="1"/>
          <w:right w:val="single" w:color="auto" w:sz="4" w:space="4"/>
          <w:between w:val="single" w:color="auto" w:sz="4" w:space="1"/>
        </w:pBdr>
        <w:shd w:val="clear" w:color="auto" w:fill="D8D8D8" w:themeFill="background1" w:themeFillShade="D9"/>
        <w:spacing w:after="120"/>
        <w:rPr>
          <w:rFonts w:ascii="Book Antiqua" w:hAnsi="Book Antiqua" w:cs="Book Antiqua"/>
          <w:color w:val="0000FF"/>
          <w:sz w:val="22"/>
        </w:rPr>
      </w:pPr>
      <w:r>
        <w:rPr>
          <w:rFonts w:ascii="Book Antiqua" w:hAnsi="Book Antiqua" w:cs="Book Antiqua"/>
          <w:color w:val="0000FF"/>
          <w:sz w:val="22"/>
        </w:rPr>
        <w:t>DA IMPUGNAÇÃO AO EDITAL</w:t>
      </w:r>
    </w:p>
    <w:p>
      <w:pPr>
        <w:pStyle w:val="83"/>
        <w:widowControl w:val="0"/>
        <w:numPr>
          <w:ilvl w:val="1"/>
          <w:numId w:val="7"/>
        </w:numPr>
        <w:snapToGrid w:val="0"/>
        <w:spacing w:after="120"/>
        <w:ind w:left="0" w:firstLine="0"/>
        <w:contextualSpacing w:val="0"/>
        <w:jc w:val="both"/>
        <w:rPr>
          <w:rFonts w:ascii="Book Antiqua" w:hAnsi="Book Antiqua" w:cs="Book Antiqua"/>
          <w:bCs/>
          <w:sz w:val="22"/>
          <w:szCs w:val="22"/>
        </w:rPr>
      </w:pPr>
      <w:r>
        <w:rPr>
          <w:rFonts w:ascii="Book Antiqua" w:hAnsi="Book Antiqua" w:cs="Book Antiqua"/>
          <w:sz w:val="22"/>
          <w:szCs w:val="22"/>
        </w:rPr>
        <w:t>Até 03 (três) dias úteis que anteceder a abertura da sessão pública</w:t>
      </w:r>
      <w:r>
        <w:rPr>
          <w:rFonts w:ascii="Book Antiqua" w:hAnsi="Book Antiqua" w:cs="Book Antiqua"/>
          <w:b/>
          <w:sz w:val="22"/>
          <w:szCs w:val="22"/>
        </w:rPr>
        <w:t xml:space="preserve">, </w:t>
      </w:r>
      <w:r>
        <w:rPr>
          <w:rFonts w:ascii="Book Antiqua" w:hAnsi="Book Antiqua" w:cs="Book Antiqua"/>
          <w:b/>
          <w:color w:val="000000"/>
          <w:sz w:val="22"/>
          <w:szCs w:val="22"/>
        </w:rPr>
        <w:t xml:space="preserve">qualquer pessoa física ou jurídica poderá </w:t>
      </w:r>
      <w:r>
        <w:rPr>
          <w:rFonts w:ascii="Book Antiqua" w:hAnsi="Book Antiqua" w:cs="Book Antiqua"/>
          <w:color w:val="000000"/>
          <w:sz w:val="22"/>
          <w:szCs w:val="22"/>
        </w:rPr>
        <w:t>I</w:t>
      </w:r>
      <w:r>
        <w:rPr>
          <w:rFonts w:ascii="Book Antiqua" w:hAnsi="Book Antiqua" w:cs="Book Antiqua"/>
          <w:b/>
          <w:color w:val="000000"/>
          <w:sz w:val="22"/>
          <w:szCs w:val="22"/>
        </w:rPr>
        <w:t xml:space="preserve">MPUGNAR </w:t>
      </w:r>
      <w:r>
        <w:rPr>
          <w:rFonts w:ascii="Book Antiqua" w:hAnsi="Book Antiqua" w:cs="Book Antiqua"/>
          <w:color w:val="000000"/>
          <w:sz w:val="22"/>
          <w:szCs w:val="22"/>
        </w:rPr>
        <w:t>o instrumento convocatório deste PREGÃO ELETRÔNICO (Art. 24, do Decreto Federal nº 10.024/2019),</w:t>
      </w:r>
      <w:r>
        <w:rPr>
          <w:rFonts w:ascii="Book Antiqua" w:hAnsi="Book Antiqua" w:cs="Book Antiqua"/>
          <w:b/>
          <w:color w:val="000000"/>
          <w:sz w:val="22"/>
          <w:szCs w:val="22"/>
        </w:rPr>
        <w:t xml:space="preserve"> </w:t>
      </w:r>
      <w:r>
        <w:rPr>
          <w:rFonts w:ascii="Book Antiqua" w:hAnsi="Book Antiqua" w:cs="Book Antiqua"/>
          <w:color w:val="000000"/>
          <w:sz w:val="22"/>
          <w:szCs w:val="22"/>
        </w:rPr>
        <w:t>devendo o mesmo mencionar o número do pregão, o ano e o número do processo licitatório</w:t>
      </w:r>
      <w:r>
        <w:rPr>
          <w:rFonts w:ascii="Book Antiqua" w:hAnsi="Book Antiqua" w:cs="Book Antiqua"/>
          <w:b/>
          <w:color w:val="000000"/>
          <w:sz w:val="22"/>
          <w:szCs w:val="22"/>
        </w:rPr>
        <w:t xml:space="preserve">, </w:t>
      </w:r>
      <w:r>
        <w:rPr>
          <w:rFonts w:ascii="Book Antiqua" w:hAnsi="Book Antiqua" w:cs="Book Antiqua"/>
          <w:sz w:val="22"/>
          <w:szCs w:val="22"/>
        </w:rPr>
        <w:t>manifestando-se</w:t>
      </w:r>
      <w:r>
        <w:rPr>
          <w:rFonts w:ascii="Book Antiqua" w:hAnsi="Book Antiqua" w:cs="Book Antiqua"/>
          <w:b/>
          <w:sz w:val="22"/>
          <w:szCs w:val="22"/>
        </w:rPr>
        <w:t xml:space="preserve"> PREFERENCIALMENTE </w:t>
      </w:r>
      <w:r>
        <w:rPr>
          <w:rFonts w:ascii="Book Antiqua" w:hAnsi="Book Antiqua" w:cs="Book Antiqua"/>
          <w:sz w:val="22"/>
          <w:szCs w:val="22"/>
        </w:rPr>
        <w:t>via e-mail</w:t>
      </w:r>
      <w:r>
        <w:rPr>
          <w:rFonts w:ascii="Book Antiqua" w:hAnsi="Book Antiqua" w:cs="Book Antiqua"/>
          <w:b/>
          <w:sz w:val="22"/>
          <w:szCs w:val="22"/>
        </w:rPr>
        <w:t xml:space="preserve">: </w:t>
      </w:r>
      <w:r>
        <w:fldChar w:fldCharType="begin"/>
      </w:r>
      <w:r>
        <w:instrText xml:space="preserve"> HYPERLINK "mailto:pregaopma@hotmail.com" </w:instrText>
      </w:r>
      <w:r>
        <w:fldChar w:fldCharType="separate"/>
      </w:r>
      <w:r>
        <w:rPr>
          <w:rStyle w:val="19"/>
          <w:rFonts w:ascii="Book Antiqua" w:hAnsi="Book Antiqua" w:cs="Book Antiqua"/>
          <w:b/>
          <w:bCs/>
          <w:sz w:val="22"/>
          <w:szCs w:val="22"/>
        </w:rPr>
        <w:t>pregaopma@hotmail.com</w:t>
      </w:r>
      <w:r>
        <w:rPr>
          <w:rStyle w:val="19"/>
          <w:rFonts w:ascii="Book Antiqua" w:hAnsi="Book Antiqua" w:cs="Book Antiqua"/>
          <w:b/>
          <w:bCs/>
          <w:sz w:val="22"/>
          <w:szCs w:val="22"/>
        </w:rPr>
        <w:fldChar w:fldCharType="end"/>
      </w:r>
      <w:r>
        <w:rPr>
          <w:rFonts w:ascii="Book Antiqua" w:hAnsi="Book Antiqua" w:cs="Book Antiqua"/>
          <w:sz w:val="22"/>
          <w:szCs w:val="22"/>
        </w:rPr>
        <w:t xml:space="preserve"> (ao transmitir o e-mail, o mesmo </w:t>
      </w:r>
      <w:r>
        <w:rPr>
          <w:rFonts w:ascii="Book Antiqua" w:hAnsi="Book Antiqua" w:cs="Book Antiqua"/>
          <w:sz w:val="22"/>
          <w:szCs w:val="22"/>
          <w:u w:val="single"/>
        </w:rPr>
        <w:t xml:space="preserve">deverá </w:t>
      </w:r>
      <w:r>
        <w:rPr>
          <w:rFonts w:ascii="Book Antiqua" w:hAnsi="Book Antiqua" w:cs="Book Antiqua"/>
          <w:color w:val="000000" w:themeColor="text1"/>
          <w:sz w:val="22"/>
          <w:szCs w:val="22"/>
          <w:u w:val="single"/>
        </w:rPr>
        <w:t>ser confirmado</w:t>
      </w:r>
      <w:r>
        <w:rPr>
          <w:rFonts w:ascii="Book Antiqua" w:hAnsi="Book Antiqua" w:cs="Book Antiqua"/>
          <w:color w:val="000000" w:themeColor="text1"/>
          <w:sz w:val="22"/>
          <w:szCs w:val="22"/>
        </w:rPr>
        <w:t xml:space="preserve"> pelo pregoeiro e/ou equipe de apoio responsável, para não tornar sem efeito, pelo telefone </w:t>
      </w:r>
      <w:r>
        <w:rPr>
          <w:rFonts w:ascii="Book Antiqua" w:hAnsi="Book Antiqua" w:cs="Book Antiqua"/>
          <w:b/>
          <w:bCs/>
          <w:color w:val="000000" w:themeColor="text1"/>
          <w:sz w:val="22"/>
          <w:szCs w:val="22"/>
        </w:rPr>
        <w:t>(69) 3516-2020</w:t>
      </w:r>
      <w:r>
        <w:rPr>
          <w:rFonts w:ascii="Book Antiqua" w:hAnsi="Book Antiqua" w:cs="Book Antiqua"/>
          <w:color w:val="000000" w:themeColor="text1"/>
          <w:sz w:val="22"/>
          <w:szCs w:val="22"/>
        </w:rPr>
        <w:t xml:space="preserve">) ou ainda, </w:t>
      </w:r>
      <w:r>
        <w:rPr>
          <w:rFonts w:ascii="Book Antiqua" w:hAnsi="Book Antiqua" w:cs="Book Antiqua"/>
          <w:sz w:val="22"/>
          <w:szCs w:val="22"/>
        </w:rPr>
        <w:t>alternativamente</w:t>
      </w:r>
      <w:r>
        <w:rPr>
          <w:rFonts w:ascii="Book Antiqua" w:hAnsi="Book Antiqua" w:cs="Book Antiqua"/>
          <w:b/>
          <w:sz w:val="22"/>
          <w:szCs w:val="22"/>
        </w:rPr>
        <w:t xml:space="preserve">, </w:t>
      </w:r>
      <w:r>
        <w:rPr>
          <w:rFonts w:ascii="Book Antiqua" w:hAnsi="Book Antiqua" w:cs="Book Antiqua"/>
          <w:sz w:val="22"/>
          <w:szCs w:val="22"/>
        </w:rPr>
        <w:t>protocolar o original junto a Prefeitura de Ariquemes/RO, no horário das 07h30min. às 13h30min. (horário local), de segunda-feira a sexta-feira, situada na Av. Tancredo Neves, n.º 2.166 – Setor Institucional - Complemento: Centro Adminsitrativo Dr. Carpintero, sala 19, no 2º andar em Ariquemes/RO - CEP: 76.872-854, Telefone: (69) 3516-2020.</w:t>
      </w:r>
    </w:p>
    <w:p>
      <w:pPr>
        <w:pStyle w:val="83"/>
        <w:widowControl w:val="0"/>
        <w:numPr>
          <w:ilvl w:val="2"/>
          <w:numId w:val="8"/>
        </w:numPr>
        <w:snapToGrid w:val="0"/>
        <w:spacing w:after="120"/>
        <w:ind w:left="0" w:firstLine="0"/>
        <w:contextualSpacing w:val="0"/>
        <w:jc w:val="both"/>
        <w:rPr>
          <w:rFonts w:ascii="Book Antiqua" w:hAnsi="Book Antiqua" w:cs="Book Antiqua"/>
          <w:bCs/>
          <w:sz w:val="22"/>
          <w:szCs w:val="22"/>
        </w:rPr>
      </w:pPr>
      <w:r>
        <w:rPr>
          <w:rFonts w:ascii="Book Antiqua" w:hAnsi="Book Antiqua" w:cs="Book Antiqua"/>
          <w:sz w:val="22"/>
          <w:szCs w:val="22"/>
        </w:rPr>
        <w:t xml:space="preserve"> Caberá ao Pregoeiro, auxiliado pela equipe de apoio, decidir sobre a impugnação no prazo de até 24 (vinte e quatro) horas.</w:t>
      </w:r>
    </w:p>
    <w:p>
      <w:pPr>
        <w:pStyle w:val="83"/>
        <w:widowControl w:val="0"/>
        <w:numPr>
          <w:ilvl w:val="2"/>
          <w:numId w:val="8"/>
        </w:numPr>
        <w:snapToGrid w:val="0"/>
        <w:spacing w:after="120"/>
        <w:ind w:left="0" w:firstLine="0"/>
        <w:contextualSpacing w:val="0"/>
        <w:jc w:val="both"/>
        <w:rPr>
          <w:rFonts w:ascii="Book Antiqua" w:hAnsi="Book Antiqua" w:cs="Book Antiqua"/>
          <w:bCs/>
          <w:sz w:val="22"/>
          <w:szCs w:val="22"/>
        </w:rPr>
      </w:pPr>
      <w:r>
        <w:rPr>
          <w:rFonts w:ascii="Book Antiqua" w:hAnsi="Book Antiqua" w:cs="Book Antiqua"/>
          <w:sz w:val="22"/>
          <w:szCs w:val="22"/>
        </w:rPr>
        <w:t xml:space="preserve">A decisão do pregoeiro quanto à impugnação será informada preferencialmente via e-mail (aquele informado na impugnação), e ainda através do campo próprio do Sistema Eletrônico do </w:t>
      </w:r>
      <w:r>
        <w:rPr>
          <w:rFonts w:ascii="Book Antiqua" w:hAnsi="Book Antiqua" w:cs="Book Antiqua"/>
          <w:color w:val="000000" w:themeColor="text1"/>
          <w:sz w:val="22"/>
          <w:szCs w:val="22"/>
        </w:rPr>
        <w:t xml:space="preserve">site </w:t>
      </w:r>
      <w:r>
        <w:rPr>
          <w:rFonts w:ascii="Book Antiqua" w:hAnsi="Book Antiqua" w:cs="Book Antiqua"/>
          <w:b/>
          <w:color w:val="0000FF"/>
          <w:sz w:val="22"/>
          <w:szCs w:val="22"/>
          <w:u w:val="single"/>
        </w:rPr>
        <w:t>https://www.comprasnet.gov.br/</w:t>
      </w:r>
      <w:r>
        <w:rPr>
          <w:rFonts w:ascii="Book Antiqua" w:hAnsi="Book Antiqua" w:cs="Book Antiqua"/>
          <w:color w:val="000000" w:themeColor="text1"/>
          <w:sz w:val="22"/>
          <w:szCs w:val="22"/>
        </w:rPr>
        <w:t>, ficando o licitante</w:t>
      </w:r>
      <w:r>
        <w:rPr>
          <w:rFonts w:ascii="Book Antiqua" w:hAnsi="Book Antiqua" w:cs="Book Antiqua"/>
          <w:sz w:val="22"/>
          <w:szCs w:val="22"/>
        </w:rPr>
        <w:t xml:space="preserve"> obrigado a acessá-lo para obtenção das informações prestadas pelo pregoeiro. </w:t>
      </w:r>
    </w:p>
    <w:p>
      <w:pPr>
        <w:pStyle w:val="83"/>
        <w:widowControl w:val="0"/>
        <w:numPr>
          <w:ilvl w:val="2"/>
          <w:numId w:val="8"/>
        </w:numPr>
        <w:snapToGrid w:val="0"/>
        <w:spacing w:after="120"/>
        <w:ind w:left="0" w:firstLine="0"/>
        <w:contextualSpacing w:val="0"/>
        <w:jc w:val="both"/>
        <w:rPr>
          <w:rFonts w:ascii="Book Antiqua" w:hAnsi="Book Antiqua" w:cs="Book Antiqua"/>
          <w:bCs/>
          <w:sz w:val="22"/>
          <w:szCs w:val="22"/>
        </w:rPr>
      </w:pPr>
      <w:r>
        <w:rPr>
          <w:rFonts w:ascii="Book Antiqua" w:hAnsi="Book Antiqua" w:cs="Book Antiqua"/>
          <w:sz w:val="22"/>
          <w:szCs w:val="22"/>
        </w:rPr>
        <w:t xml:space="preserve"> Acolhida à impugnação contra o ato convocatório, desde que altere a formulação da proposta de preços, será definida e publicada nova data para realização do certame.</w:t>
      </w:r>
    </w:p>
    <w:p>
      <w:pPr>
        <w:pStyle w:val="83"/>
        <w:widowControl w:val="0"/>
        <w:numPr>
          <w:ilvl w:val="2"/>
          <w:numId w:val="8"/>
        </w:numPr>
        <w:snapToGrid w:val="0"/>
        <w:spacing w:after="120"/>
        <w:ind w:left="0" w:firstLine="0"/>
        <w:contextualSpacing w:val="0"/>
        <w:jc w:val="both"/>
        <w:rPr>
          <w:rFonts w:ascii="Book Antiqua" w:hAnsi="Book Antiqua" w:cs="Book Antiqua"/>
          <w:sz w:val="22"/>
          <w:szCs w:val="22"/>
        </w:rPr>
      </w:pPr>
      <w:r>
        <w:rPr>
          <w:rFonts w:ascii="Book Antiqua" w:hAnsi="Book Antiqua" w:cs="Book Antiqua"/>
          <w:sz w:val="22"/>
          <w:szCs w:val="22"/>
        </w:rPr>
        <w:t xml:space="preserve">Até a data definida para a sessão inaugural, o licitante que não obtiver resposta da impugnação protocolada, o pregoeiro antes da data e horário previsto suspenderá o certame licitatório, para confecção da resposta pretendida, e assim, definir uma nova data para a realização do referido certame. </w:t>
      </w:r>
    </w:p>
    <w:p>
      <w:pPr>
        <w:pStyle w:val="83"/>
        <w:widowControl w:val="0"/>
        <w:numPr>
          <w:ilvl w:val="0"/>
          <w:numId w:val="0"/>
        </w:numPr>
        <w:snapToGrid w:val="0"/>
        <w:spacing w:after="120"/>
        <w:ind w:leftChars="0"/>
        <w:contextualSpacing w:val="0"/>
        <w:jc w:val="both"/>
        <w:rPr>
          <w:rFonts w:ascii="Book Antiqua" w:hAnsi="Book Antiqua" w:cs="Book Antiqua"/>
          <w:sz w:val="22"/>
          <w:szCs w:val="22"/>
        </w:rPr>
      </w:pPr>
    </w:p>
    <w:p>
      <w:pPr>
        <w:pStyle w:val="58"/>
        <w:widowControl w:val="0"/>
        <w:numPr>
          <w:ilvl w:val="0"/>
          <w:numId w:val="7"/>
        </w:numPr>
        <w:pBdr>
          <w:top w:val="single" w:color="auto" w:sz="4" w:space="1"/>
          <w:left w:val="single" w:color="auto" w:sz="4" w:space="4"/>
          <w:bottom w:val="single" w:color="auto" w:sz="4" w:space="1"/>
          <w:right w:val="single" w:color="auto" w:sz="4" w:space="4"/>
        </w:pBdr>
        <w:shd w:val="clear" w:color="auto" w:fill="D8D8D8" w:themeFill="background1" w:themeFillShade="D9"/>
        <w:spacing w:after="80"/>
        <w:ind w:left="0" w:firstLine="0"/>
        <w:rPr>
          <w:rFonts w:ascii="Book Antiqua" w:hAnsi="Book Antiqua"/>
          <w:color w:val="0000FF"/>
          <w:sz w:val="22"/>
        </w:rPr>
      </w:pPr>
      <w:r>
        <w:rPr>
          <w:rFonts w:ascii="Book Antiqua" w:hAnsi="Book Antiqua"/>
          <w:color w:val="0000FF"/>
          <w:sz w:val="22"/>
        </w:rPr>
        <w:t>DO PEDIDO DE ESCLARECIMENTO E INFORMAÇÕES ADICIONAIS</w:t>
      </w:r>
    </w:p>
    <w:p>
      <w:pPr>
        <w:pStyle w:val="58"/>
        <w:widowControl w:val="0"/>
        <w:numPr>
          <w:ilvl w:val="1"/>
          <w:numId w:val="9"/>
        </w:numPr>
        <w:tabs>
          <w:tab w:val="clear" w:pos="720"/>
        </w:tabs>
        <w:spacing w:after="80"/>
        <w:ind w:left="0" w:hanging="11"/>
        <w:rPr>
          <w:rFonts w:ascii="Book Antiqua" w:hAnsi="Book Antiqua"/>
          <w:b w:val="0"/>
          <w:bCs/>
          <w:sz w:val="22"/>
        </w:rPr>
      </w:pPr>
      <w:r>
        <w:rPr>
          <w:rFonts w:ascii="Book Antiqua" w:hAnsi="Book Antiqua"/>
          <w:b w:val="0"/>
          <w:sz w:val="22"/>
        </w:rPr>
        <w:t>Os pedidos de esclarecimentos, decorrentes de dúvidas na interpretação deste Edital e seus anexos, e as informações adicionais que se fizerem necessárias à elaboração das propostas</w:t>
      </w:r>
      <w:r>
        <w:rPr>
          <w:rFonts w:ascii="Book Antiqua" w:hAnsi="Book Antiqua"/>
          <w:sz w:val="22"/>
        </w:rPr>
        <w:t>,</w:t>
      </w:r>
      <w:r>
        <w:rPr>
          <w:rFonts w:ascii="Book Antiqua" w:hAnsi="Book Antiqua"/>
          <w:b w:val="0"/>
          <w:sz w:val="22"/>
        </w:rPr>
        <w:t xml:space="preserve"> referentes ao processo licitatório deverão ser enviados ao Pregoeiro, </w:t>
      </w:r>
      <w:r>
        <w:rPr>
          <w:rFonts w:ascii="Book Antiqua" w:hAnsi="Book Antiqua"/>
          <w:sz w:val="22"/>
        </w:rPr>
        <w:t xml:space="preserve">até 03 (três) dias úteis </w:t>
      </w:r>
      <w:r>
        <w:rPr>
          <w:rFonts w:ascii="Book Antiqua" w:hAnsi="Book Antiqua"/>
          <w:b w:val="0"/>
          <w:sz w:val="22"/>
        </w:rPr>
        <w:t xml:space="preserve">anteriores à data fixada para abertura da sessão pública do </w:t>
      </w:r>
      <w:r>
        <w:rPr>
          <w:rFonts w:ascii="Book Antiqua" w:hAnsi="Book Antiqua"/>
          <w:sz w:val="22"/>
        </w:rPr>
        <w:t xml:space="preserve">PREGÃO ELETRÔNICO, </w:t>
      </w:r>
      <w:r>
        <w:rPr>
          <w:rFonts w:ascii="Book Antiqua" w:hAnsi="Book Antiqua"/>
          <w:b w:val="0"/>
          <w:sz w:val="22"/>
        </w:rPr>
        <w:t xml:space="preserve">manifestando-se </w:t>
      </w:r>
      <w:r>
        <w:rPr>
          <w:rFonts w:ascii="Book Antiqua" w:hAnsi="Book Antiqua"/>
          <w:sz w:val="22"/>
        </w:rPr>
        <w:t>PREFERENCIALMENTE</w:t>
      </w:r>
      <w:r>
        <w:rPr>
          <w:rFonts w:ascii="Book Antiqua" w:hAnsi="Book Antiqua"/>
          <w:b w:val="0"/>
          <w:sz w:val="22"/>
        </w:rPr>
        <w:t xml:space="preserve"> via e-mail: </w:t>
      </w:r>
      <w:r>
        <w:fldChar w:fldCharType="begin"/>
      </w:r>
      <w:r>
        <w:instrText xml:space="preserve"> HYPERLINK "mailto:pregaopma@hotmail.com" </w:instrText>
      </w:r>
      <w:r>
        <w:fldChar w:fldCharType="separate"/>
      </w:r>
      <w:r>
        <w:rPr>
          <w:rStyle w:val="19"/>
          <w:rFonts w:ascii="Book Antiqua" w:hAnsi="Book Antiqua"/>
          <w:sz w:val="22"/>
        </w:rPr>
        <w:t>pregaopma@hotmail.com</w:t>
      </w:r>
      <w:r>
        <w:rPr>
          <w:rStyle w:val="19"/>
          <w:rFonts w:ascii="Book Antiqua" w:hAnsi="Book Antiqua"/>
          <w:sz w:val="22"/>
        </w:rPr>
        <w:fldChar w:fldCharType="end"/>
      </w:r>
      <w:r>
        <w:rPr>
          <w:rFonts w:ascii="Book Antiqua" w:hAnsi="Book Antiqua"/>
          <w:b w:val="0"/>
          <w:sz w:val="22"/>
        </w:rPr>
        <w:t xml:space="preserve"> (ao transmitir o e-mail, o mesmo deverá </w:t>
      </w:r>
      <w:r>
        <w:rPr>
          <w:rFonts w:ascii="Book Antiqua" w:hAnsi="Book Antiqua"/>
          <w:b w:val="0"/>
          <w:color w:val="000000" w:themeColor="text1"/>
          <w:sz w:val="22"/>
        </w:rPr>
        <w:t xml:space="preserve">ser confirmado pelo pregoeiro e/ou equipe de apoio responsável, para não tornar sem efeito, pelo telefone (69) 3516-2020 ou ainda, protocolar original junto a Prefeitura de Ariquemes, </w:t>
      </w:r>
      <w:r>
        <w:rPr>
          <w:rFonts w:ascii="Book Antiqua" w:hAnsi="Book Antiqua"/>
          <w:b w:val="0"/>
          <w:sz w:val="22"/>
        </w:rPr>
        <w:t>no horário das 07h30min. às 13h30min. (horário local), de segunda-feira a sexta-feira, situada na Av. Tancredo Neves, n.º 2.166 – Setor Institucional - Complemento: Centro Adminsitrativo Dr. Carpintero, sala 19, no 2º andar, em Ariquemes/RO - CEP: 76.872-854, Telefone: (69) 3516-2020</w:t>
      </w:r>
      <w:r>
        <w:rPr>
          <w:rFonts w:ascii="Book Antiqua" w:hAnsi="Book Antiqua"/>
          <w:sz w:val="22"/>
        </w:rPr>
        <w:t>.</w:t>
      </w:r>
      <w:r>
        <w:rPr>
          <w:rFonts w:ascii="Book Antiqua" w:hAnsi="Book Antiqua"/>
          <w:b w:val="0"/>
          <w:sz w:val="22"/>
        </w:rPr>
        <w:t xml:space="preserve">, devendo o licitante mencionar o número do Pregão, o ano e o número do processo licitatório. </w:t>
      </w:r>
    </w:p>
    <w:p>
      <w:pPr>
        <w:pStyle w:val="32"/>
        <w:widowControl w:val="0"/>
        <w:numPr>
          <w:ilvl w:val="1"/>
          <w:numId w:val="9"/>
        </w:numPr>
        <w:snapToGrid w:val="0"/>
        <w:spacing w:after="80"/>
        <w:ind w:left="0" w:firstLine="0"/>
        <w:jc w:val="both"/>
        <w:rPr>
          <w:rFonts w:ascii="Book Antiqua" w:hAnsi="Book Antiqua"/>
          <w:b w:val="0"/>
          <w:bCs/>
          <w:sz w:val="22"/>
        </w:rPr>
      </w:pPr>
      <w:r>
        <w:rPr>
          <w:rFonts w:ascii="Book Antiqua" w:hAnsi="Book Antiqua"/>
          <w:b w:val="0"/>
          <w:sz w:val="22"/>
        </w:rPr>
        <w:t>As respostas às dúvidas formuladas, bem como as informações que se tornarem necessárias durante o período de elaboração das propostas, ou qualquer modificação introduzida no edital no mesmo período, serão encaminhadas em forma de aviso de erratas, adendos modificadores ou notas de esclarecimentos, às licitantes que tenham adquirido o Edital.</w:t>
      </w:r>
    </w:p>
    <w:p>
      <w:pPr>
        <w:pStyle w:val="32"/>
        <w:widowControl w:val="0"/>
        <w:numPr>
          <w:ilvl w:val="2"/>
          <w:numId w:val="10"/>
        </w:numPr>
        <w:snapToGrid w:val="0"/>
        <w:spacing w:after="80"/>
        <w:ind w:left="660" w:leftChars="300" w:firstLine="0"/>
        <w:jc w:val="both"/>
        <w:rPr>
          <w:rFonts w:ascii="Book Antiqua" w:hAnsi="Book Antiqua"/>
          <w:b w:val="0"/>
          <w:bCs/>
          <w:sz w:val="22"/>
        </w:rPr>
      </w:pPr>
      <w:r>
        <w:rPr>
          <w:rFonts w:ascii="Book Antiqua" w:hAnsi="Book Antiqua"/>
          <w:b w:val="0"/>
          <w:color w:val="000000"/>
          <w:sz w:val="22"/>
        </w:rPr>
        <w:t>ADENDO MODIFICADOR é o documento emitido pela Administração, contendo informações que impliquem em alteração na formulação das propostas, sendo neste caso, publicado Adendo Modificador, reabrindo o prazo inicialmente estabelecido.</w:t>
      </w:r>
    </w:p>
    <w:p>
      <w:pPr>
        <w:pStyle w:val="32"/>
        <w:widowControl w:val="0"/>
        <w:numPr>
          <w:ilvl w:val="2"/>
          <w:numId w:val="10"/>
        </w:numPr>
        <w:snapToGrid w:val="0"/>
        <w:spacing w:after="80"/>
        <w:ind w:left="660" w:leftChars="300" w:firstLine="0"/>
        <w:jc w:val="both"/>
        <w:rPr>
          <w:rFonts w:ascii="Book Antiqua" w:hAnsi="Book Antiqua"/>
          <w:b w:val="0"/>
          <w:bCs/>
          <w:sz w:val="22"/>
        </w:rPr>
      </w:pPr>
      <w:r>
        <w:rPr>
          <w:rFonts w:ascii="Book Antiqua" w:hAnsi="Book Antiqua"/>
          <w:b w:val="0"/>
          <w:color w:val="000000"/>
          <w:sz w:val="22"/>
        </w:rPr>
        <w:t>NOTA DE ESCLARECIMENTO é o documento emitido pela Administração, contendo informações que não causem alteração na formulação das propostas;</w:t>
      </w:r>
    </w:p>
    <w:p>
      <w:pPr>
        <w:pStyle w:val="32"/>
        <w:widowControl w:val="0"/>
        <w:numPr>
          <w:ilvl w:val="2"/>
          <w:numId w:val="10"/>
        </w:numPr>
        <w:snapToGrid w:val="0"/>
        <w:spacing w:after="80"/>
        <w:ind w:left="660" w:leftChars="300" w:firstLine="0"/>
        <w:jc w:val="both"/>
        <w:rPr>
          <w:rFonts w:ascii="Book Antiqua" w:hAnsi="Book Antiqua"/>
          <w:b w:val="0"/>
          <w:bCs/>
          <w:sz w:val="22"/>
        </w:rPr>
      </w:pPr>
      <w:r>
        <w:rPr>
          <w:rFonts w:ascii="Book Antiqua" w:hAnsi="Book Antiqua"/>
          <w:b w:val="0"/>
          <w:color w:val="000000"/>
          <w:sz w:val="22"/>
        </w:rPr>
        <w:t>ERRATA é o documento emitido pela Administração Pública, podendo implicar ou não na formulação das propostas, podendo ou não reabrir o prazo inicialmente estabelecido.</w:t>
      </w:r>
    </w:p>
    <w:p>
      <w:pPr>
        <w:pStyle w:val="32"/>
        <w:widowControl w:val="0"/>
        <w:numPr>
          <w:ilvl w:val="2"/>
          <w:numId w:val="10"/>
        </w:numPr>
        <w:snapToGrid w:val="0"/>
        <w:spacing w:after="80" w:line="300" w:lineRule="atLeast"/>
        <w:ind w:left="660" w:leftChars="300" w:firstLine="0"/>
        <w:jc w:val="both"/>
        <w:rPr>
          <w:rFonts w:ascii="Book Antiqua" w:hAnsi="Book Antiqua"/>
          <w:b w:val="0"/>
          <w:bCs/>
          <w:sz w:val="22"/>
        </w:rPr>
      </w:pPr>
      <w:r>
        <w:rPr>
          <w:rFonts w:ascii="Book Antiqua" w:hAnsi="Book Antiqua"/>
          <w:b w:val="0"/>
          <w:color w:val="000000"/>
          <w:sz w:val="22"/>
        </w:rPr>
        <w:t>AVISO DE REABERTURA é o documento emitido pela Administração Pública, podendo ou não reabrir o prazo inicialmente.</w:t>
      </w:r>
    </w:p>
    <w:p>
      <w:pPr>
        <w:pStyle w:val="83"/>
        <w:widowControl w:val="0"/>
        <w:numPr>
          <w:ilvl w:val="1"/>
          <w:numId w:val="9"/>
        </w:numPr>
        <w:tabs>
          <w:tab w:val="left" w:pos="1276"/>
        </w:tabs>
        <w:snapToGrid w:val="0"/>
        <w:spacing w:after="80" w:line="300" w:lineRule="atLeast"/>
        <w:ind w:left="0" w:firstLine="0"/>
        <w:contextualSpacing w:val="0"/>
        <w:jc w:val="both"/>
        <w:rPr>
          <w:rFonts w:ascii="Book Antiqua" w:hAnsi="Book Antiqua"/>
          <w:color w:val="000000"/>
          <w:sz w:val="22"/>
          <w:szCs w:val="22"/>
        </w:rPr>
      </w:pPr>
      <w:r>
        <w:rPr>
          <w:rFonts w:ascii="Book Antiqua" w:hAnsi="Book Antiqua"/>
          <w:sz w:val="22"/>
          <w:szCs w:val="22"/>
        </w:rPr>
        <w:t>As informações e/ou esclarecimentos serão prestados pelo Pregoeiro preferencialmente via e-mail (aquele informado na petição), ficando o licitante obrigado a acessá-lo para obtenção das informações prestadas pelo Pregoeiro.</w:t>
      </w:r>
    </w:p>
    <w:p>
      <w:pPr>
        <w:pStyle w:val="83"/>
        <w:widowControl w:val="0"/>
        <w:numPr>
          <w:ilvl w:val="0"/>
          <w:numId w:val="9"/>
        </w:numPr>
        <w:pBdr>
          <w:top w:val="single" w:color="auto" w:sz="4" w:space="1"/>
          <w:left w:val="single" w:color="auto" w:sz="4" w:space="4"/>
          <w:bottom w:val="single" w:color="auto" w:sz="4" w:space="1"/>
          <w:right w:val="single" w:color="auto" w:sz="4" w:space="4"/>
        </w:pBdr>
        <w:shd w:val="clear" w:color="auto" w:fill="D8D8D8" w:themeFill="background1" w:themeFillShade="D9"/>
        <w:tabs>
          <w:tab w:val="left" w:pos="-851"/>
        </w:tabs>
        <w:spacing w:after="80"/>
        <w:ind w:left="0" w:firstLine="0"/>
        <w:contextualSpacing w:val="0"/>
        <w:jc w:val="both"/>
        <w:rPr>
          <w:rFonts w:ascii="Book Antiqua" w:hAnsi="Book Antiqua"/>
          <w:color w:val="0000FF"/>
          <w:sz w:val="22"/>
          <w:szCs w:val="22"/>
        </w:rPr>
      </w:pPr>
      <w:r>
        <w:rPr>
          <w:rFonts w:ascii="Book Antiqua" w:hAnsi="Book Antiqua"/>
          <w:b/>
          <w:color w:val="0000FF"/>
          <w:sz w:val="22"/>
          <w:szCs w:val="22"/>
        </w:rPr>
        <w:t>DO CREDENCIAMENTO</w:t>
      </w:r>
    </w:p>
    <w:p>
      <w:pPr>
        <w:numPr>
          <w:ilvl w:val="1"/>
          <w:numId w:val="9"/>
        </w:numPr>
        <w:tabs>
          <w:tab w:val="left" w:pos="0"/>
          <w:tab w:val="clear" w:pos="720"/>
        </w:tabs>
        <w:spacing w:after="80"/>
        <w:ind w:left="0" w:firstLine="0"/>
        <w:jc w:val="both"/>
        <w:rPr>
          <w:rFonts w:ascii="Book Antiqua" w:hAnsi="Book Antiqua" w:cs="Book Antiqua"/>
          <w:color w:val="000000" w:themeColor="text1"/>
        </w:rPr>
      </w:pPr>
      <w:r>
        <w:rPr>
          <w:rFonts w:ascii="Book Antiqua" w:hAnsi="Book Antiqua" w:eastAsia="Tahoma" w:cs="Book Antiqua"/>
          <w:color w:val="000000"/>
          <w:lang w:val="en-US" w:eastAsia="zh-CN" w:bidi="ar"/>
        </w:rPr>
        <w:t>O Credenciamento é o nível básico do registro cadastral no SICAF, que permite a participação dos interessados na modalidade licitatória Pregão, em sua forma eletrônica.</w:t>
      </w:r>
    </w:p>
    <w:p>
      <w:pPr>
        <w:numPr>
          <w:ilvl w:val="1"/>
          <w:numId w:val="9"/>
        </w:numPr>
        <w:tabs>
          <w:tab w:val="left" w:pos="0"/>
          <w:tab w:val="clear" w:pos="720"/>
        </w:tabs>
        <w:spacing w:after="80"/>
        <w:ind w:left="0" w:firstLine="0"/>
        <w:jc w:val="both"/>
        <w:rPr>
          <w:rFonts w:ascii="Book Antiqua" w:hAnsi="Book Antiqua" w:cs="Book Antiqua"/>
          <w:color w:val="000000" w:themeColor="text1"/>
        </w:rPr>
      </w:pPr>
      <w:r>
        <w:rPr>
          <w:rFonts w:ascii="Book Antiqua" w:hAnsi="Book Antiqua" w:cs="Book Antiqua"/>
          <w:color w:val="000000" w:themeColor="text1"/>
        </w:rPr>
        <w:t xml:space="preserve">O cadastro no SICAF deverá ser feito no Portal de Compras do Governo Federal, no sítio </w:t>
      </w:r>
      <w:r>
        <w:fldChar w:fldCharType="begin"/>
      </w:r>
      <w:r>
        <w:instrText xml:space="preserve"> HYPERLINK "http://www.comprasnet.gov.br" </w:instrText>
      </w:r>
      <w:r>
        <w:fldChar w:fldCharType="separate"/>
      </w:r>
      <w:r>
        <w:rPr>
          <w:rStyle w:val="19"/>
          <w:rFonts w:ascii="Book Antiqua" w:hAnsi="Book Antiqua" w:cs="Book Antiqua"/>
          <w:b/>
          <w:bCs/>
        </w:rPr>
        <w:t>www.gov.br</w:t>
      </w:r>
      <w:r>
        <w:rPr>
          <w:rStyle w:val="19"/>
          <w:rFonts w:ascii="Book Antiqua" w:hAnsi="Book Antiqua" w:cs="Book Antiqua"/>
          <w:b/>
          <w:bCs/>
        </w:rPr>
        <w:fldChar w:fldCharType="end"/>
      </w:r>
      <w:r>
        <w:rPr>
          <w:rStyle w:val="19"/>
          <w:rFonts w:ascii="Book Antiqua" w:hAnsi="Book Antiqua" w:cs="Book Antiqua"/>
          <w:b/>
          <w:bCs/>
        </w:rPr>
        <w:t>/compras</w:t>
      </w:r>
      <w:r>
        <w:rPr>
          <w:rFonts w:ascii="Book Antiqua" w:hAnsi="Book Antiqua" w:cs="Book Antiqua"/>
          <w:color w:val="000000" w:themeColor="text1"/>
        </w:rPr>
        <w:t>, por meio de certificado digital conferido pela Infraestrutura de Chaves Públicas Brasileira – ICP - Brasil.</w:t>
      </w:r>
    </w:p>
    <w:p>
      <w:pPr>
        <w:numPr>
          <w:ilvl w:val="1"/>
          <w:numId w:val="9"/>
        </w:numPr>
        <w:tabs>
          <w:tab w:val="left" w:pos="0"/>
          <w:tab w:val="clear" w:pos="720"/>
        </w:tabs>
        <w:spacing w:after="80"/>
        <w:ind w:left="0" w:firstLine="0"/>
        <w:jc w:val="both"/>
        <w:rPr>
          <w:rFonts w:ascii="Book Antiqua" w:hAnsi="Book Antiqua" w:cs="Book Antiqua"/>
        </w:rPr>
      </w:pPr>
      <w:r>
        <w:rPr>
          <w:rFonts w:ascii="Book Antiqua" w:hAnsi="Book Antiqua" w:cs="Book Antiqua"/>
        </w:rPr>
        <w:t xml:space="preserve">O credenciamento dar-se-á pela atribuição de chave de identificação e de senha, pessoal e intransferível, para acesso ao Sistema Eletrônico, no </w:t>
      </w:r>
      <w:r>
        <w:rPr>
          <w:rFonts w:ascii="Book Antiqua" w:hAnsi="Book Antiqua" w:cs="Book Antiqua"/>
          <w:iCs/>
        </w:rPr>
        <w:t xml:space="preserve">site </w:t>
      </w:r>
      <w:r>
        <w:fldChar w:fldCharType="begin"/>
      </w:r>
      <w:r>
        <w:instrText xml:space="preserve"> HYPERLINK "http://www.comprasnet.gov.br" </w:instrText>
      </w:r>
      <w:r>
        <w:fldChar w:fldCharType="separate"/>
      </w:r>
      <w:r>
        <w:rPr>
          <w:rStyle w:val="19"/>
          <w:rFonts w:ascii="Book Antiqua" w:hAnsi="Book Antiqua" w:cs="Book Antiqua"/>
          <w:b/>
          <w:bCs/>
        </w:rPr>
        <w:t>www.gov.br</w:t>
      </w:r>
      <w:r>
        <w:rPr>
          <w:rStyle w:val="19"/>
          <w:rFonts w:ascii="Book Antiqua" w:hAnsi="Book Antiqua" w:cs="Book Antiqua"/>
          <w:b/>
          <w:bCs/>
        </w:rPr>
        <w:fldChar w:fldCharType="end"/>
      </w:r>
      <w:r>
        <w:rPr>
          <w:rStyle w:val="19"/>
          <w:rFonts w:ascii="Book Antiqua" w:hAnsi="Book Antiqua" w:cs="Book Antiqua"/>
          <w:b/>
          <w:bCs/>
        </w:rPr>
        <w:t>/compras</w:t>
      </w:r>
      <w:r>
        <w:rPr>
          <w:rFonts w:ascii="Book Antiqua" w:hAnsi="Book Antiqua" w:cs="Book Antiqua"/>
          <w:color w:val="0000FF"/>
        </w:rPr>
        <w:t>.</w:t>
      </w:r>
    </w:p>
    <w:p>
      <w:pPr>
        <w:numPr>
          <w:ilvl w:val="1"/>
          <w:numId w:val="9"/>
        </w:numPr>
        <w:tabs>
          <w:tab w:val="left" w:pos="0"/>
          <w:tab w:val="clear" w:pos="720"/>
        </w:tabs>
        <w:spacing w:after="80"/>
        <w:ind w:left="0" w:firstLine="0"/>
        <w:jc w:val="both"/>
        <w:rPr>
          <w:rFonts w:ascii="Book Antiqua" w:hAnsi="Book Antiqua" w:cs="Book Antiqua"/>
        </w:rPr>
      </w:pPr>
      <w:r>
        <w:rPr>
          <w:rFonts w:ascii="Book Antiqua" w:hAnsi="Book Antiqua" w:cs="Book Antiqua"/>
        </w:rPr>
        <w:t>O credenciamento junto ao provedor do Sistema implica na responsabilidade legal única e exclusiva do Licitante, ou de seu representante legal e na presunção de sua capacidade técnica para realização das transações inerentes ao Pregão Eletrônico.</w:t>
      </w:r>
    </w:p>
    <w:p>
      <w:pPr>
        <w:numPr>
          <w:ilvl w:val="1"/>
          <w:numId w:val="9"/>
        </w:numPr>
        <w:tabs>
          <w:tab w:val="left" w:pos="0"/>
          <w:tab w:val="clear" w:pos="720"/>
        </w:tabs>
        <w:spacing w:after="80"/>
        <w:ind w:left="0" w:firstLine="0"/>
        <w:jc w:val="both"/>
        <w:rPr>
          <w:rFonts w:ascii="Book Antiqua" w:hAnsi="Book Antiqua" w:cs="Book Antiqua"/>
        </w:rPr>
      </w:pPr>
      <w:r>
        <w:rPr>
          <w:rFonts w:ascii="Book Antiqua" w:hAnsi="Book Antiqua" w:cs="Book Antiqua"/>
        </w:rPr>
        <w:t>O uso da senha de acesso pelo Licitante é de sua responsabilidade exclusiva, incluindo qualquer transação efetuada diretamente ou por seu representante, não cabendo ao provedor do Sistema, ou da Prefeitura de Ariquemes, promotora da licitação, responsabilidade por eventuais danos decorrentes do uso indevido da senha, ainda que, por terceiros.</w:t>
      </w:r>
    </w:p>
    <w:p>
      <w:pPr>
        <w:numPr>
          <w:ilvl w:val="1"/>
          <w:numId w:val="9"/>
        </w:numPr>
        <w:tabs>
          <w:tab w:val="left" w:pos="0"/>
          <w:tab w:val="clear" w:pos="720"/>
        </w:tabs>
        <w:spacing w:after="80"/>
        <w:ind w:left="0" w:firstLine="0"/>
        <w:jc w:val="both"/>
        <w:rPr>
          <w:rFonts w:ascii="Book Antiqua" w:hAnsi="Book Antiqua" w:cs="Book Antiqua"/>
        </w:rPr>
      </w:pPr>
      <w:r>
        <w:rPr>
          <w:rFonts w:ascii="Book Antiqua" w:hAnsi="Book Antiqua" w:cs="Book Antiqua"/>
        </w:rPr>
        <w:t>A perda da senha ou a quebra de sigilo deverão ser comunicadas ao provedor do Sistema para imediato bloqueio de acesso.</w:t>
      </w:r>
    </w:p>
    <w:p>
      <w:pPr>
        <w:numPr>
          <w:ilvl w:val="1"/>
          <w:numId w:val="9"/>
        </w:numPr>
        <w:tabs>
          <w:tab w:val="left" w:pos="0"/>
          <w:tab w:val="clear" w:pos="720"/>
        </w:tabs>
        <w:spacing w:after="80"/>
        <w:ind w:left="0" w:firstLine="0"/>
        <w:jc w:val="both"/>
        <w:rPr>
          <w:rFonts w:ascii="Book Antiqua" w:hAnsi="Book Antiqua" w:cs="Book Antiqua"/>
        </w:rPr>
      </w:pPr>
      <w:r>
        <w:rPr>
          <w:rFonts w:ascii="Book Antiqua" w:hAnsi="Book Antiqua" w:cs="Book Antiqua"/>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pPr>
        <w:pStyle w:val="83"/>
        <w:widowControl w:val="0"/>
        <w:numPr>
          <w:ilvl w:val="2"/>
          <w:numId w:val="9"/>
        </w:numPr>
        <w:tabs>
          <w:tab w:val="left" w:pos="-851"/>
          <w:tab w:val="clear" w:pos="1288"/>
        </w:tabs>
        <w:spacing w:after="80"/>
        <w:ind w:left="660" w:leftChars="300" w:firstLine="0"/>
        <w:contextualSpacing w:val="0"/>
        <w:jc w:val="both"/>
        <w:rPr>
          <w:rFonts w:ascii="Book Antiqua" w:hAnsi="Book Antiqua" w:cs="Book Antiqua"/>
          <w:sz w:val="22"/>
          <w:szCs w:val="22"/>
        </w:rPr>
      </w:pPr>
      <w:r>
        <w:rPr>
          <w:rFonts w:ascii="Book Antiqua" w:hAnsi="Book Antiqua" w:cs="Book Antiqua"/>
          <w:sz w:val="22"/>
          <w:szCs w:val="22"/>
        </w:rPr>
        <w:t>A não observância do disposto no subitem anterior poderá ensejar desclassificação no momento da habilitação.</w:t>
      </w:r>
    </w:p>
    <w:p>
      <w:pPr>
        <w:pStyle w:val="83"/>
        <w:widowControl w:val="0"/>
        <w:tabs>
          <w:tab w:val="left" w:pos="1276"/>
        </w:tabs>
        <w:spacing w:line="300" w:lineRule="atLeast"/>
        <w:ind w:left="0"/>
        <w:contextualSpacing w:val="0"/>
        <w:jc w:val="both"/>
        <w:rPr>
          <w:rFonts w:ascii="Book Antiqua" w:hAnsi="Book Antiqua"/>
          <w:color w:val="000000"/>
          <w:sz w:val="22"/>
          <w:szCs w:val="22"/>
        </w:rPr>
      </w:pPr>
    </w:p>
    <w:p>
      <w:pPr>
        <w:pStyle w:val="83"/>
        <w:widowControl w:val="0"/>
        <w:numPr>
          <w:ilvl w:val="0"/>
          <w:numId w:val="9"/>
        </w:numPr>
        <w:pBdr>
          <w:top w:val="single" w:color="auto" w:sz="4" w:space="1"/>
          <w:left w:val="single" w:color="auto" w:sz="4" w:space="4"/>
          <w:bottom w:val="single" w:color="auto" w:sz="4" w:space="1"/>
          <w:right w:val="single" w:color="auto" w:sz="4" w:space="4"/>
        </w:pBdr>
        <w:shd w:val="clear" w:color="auto" w:fill="D8D8D8" w:themeFill="background1" w:themeFillShade="D9"/>
        <w:tabs>
          <w:tab w:val="left" w:pos="-851"/>
        </w:tabs>
        <w:spacing w:after="120"/>
        <w:ind w:left="0" w:firstLine="0"/>
        <w:contextualSpacing w:val="0"/>
        <w:jc w:val="both"/>
        <w:rPr>
          <w:rFonts w:ascii="Book Antiqua" w:hAnsi="Book Antiqua"/>
          <w:color w:val="0000FF"/>
          <w:sz w:val="22"/>
          <w:szCs w:val="22"/>
        </w:rPr>
      </w:pPr>
      <w:r>
        <w:rPr>
          <w:rFonts w:ascii="Book Antiqua" w:hAnsi="Book Antiqua"/>
          <w:b/>
          <w:color w:val="0000FF"/>
          <w:sz w:val="22"/>
          <w:szCs w:val="22"/>
        </w:rPr>
        <w:t>DAS CONDIÇÕES PARA PARTICIPAÇÃO</w:t>
      </w:r>
    </w:p>
    <w:p>
      <w:pPr>
        <w:numPr>
          <w:ilvl w:val="1"/>
          <w:numId w:val="9"/>
        </w:numPr>
        <w:tabs>
          <w:tab w:val="left" w:pos="0"/>
          <w:tab w:val="clear" w:pos="720"/>
        </w:tabs>
        <w:spacing w:after="40"/>
        <w:ind w:left="0" w:firstLine="0"/>
        <w:jc w:val="both"/>
        <w:rPr>
          <w:rFonts w:ascii="Book Antiqua" w:hAnsi="Book Antiqua" w:cs="Book Antiqua"/>
        </w:rPr>
      </w:pPr>
      <w:r>
        <w:rPr>
          <w:rFonts w:ascii="Book Antiqua" w:hAnsi="Book Antiqua" w:cs="Book Antiqua"/>
        </w:rPr>
        <w:t>A participação nesta licitação importa à proponente na irrestrita aceitação das condições estabelecidas no presente Edital, bem como, a observância dos regulamentos, normas administrativas e técnicas aplicáveis, inclusive quanto a recursos. A não observância destas condições ensejará no sumário IMPEDIMENTO da proponente, no referido certame.</w:t>
      </w:r>
    </w:p>
    <w:p>
      <w:pPr>
        <w:numPr>
          <w:ilvl w:val="1"/>
          <w:numId w:val="9"/>
        </w:numPr>
        <w:tabs>
          <w:tab w:val="left" w:pos="0"/>
          <w:tab w:val="clear" w:pos="720"/>
        </w:tabs>
        <w:spacing w:after="40"/>
        <w:ind w:left="0" w:firstLine="0"/>
        <w:jc w:val="both"/>
        <w:rPr>
          <w:rFonts w:ascii="Book Antiqua" w:hAnsi="Book Antiqua" w:cs="Book Antiqua"/>
          <w:u w:val="single"/>
        </w:rPr>
      </w:pPr>
      <w:r>
        <w:rPr>
          <w:rFonts w:ascii="Book Antiqua" w:hAnsi="Book Antiqua" w:eastAsia="TimesNewRomanPSMT" w:cs="Book Antiqua"/>
          <w:color w:val="000000"/>
          <w:u w:val="single"/>
          <w:lang w:val="en-US" w:eastAsia="zh-CN" w:bidi="ar"/>
        </w:rPr>
        <w:t xml:space="preserve">Como requisito para participação no PREGÃO ELETRÔNICO o Licitante deverá manifestar, em campo próprio do Sistema Eletrônico, que cumpre plenamente os requisitos de habilitação e que sua proposta de preços está em conformidade com as exigências do instrumento convocatório, bem como a descritiva técnica constante do </w:t>
      </w:r>
      <w:r>
        <w:rPr>
          <w:rFonts w:ascii="Book Antiqua" w:hAnsi="Book Antiqua" w:eastAsia="TimesNewRomanPSMT" w:cs="Book Antiqua"/>
          <w:b/>
          <w:bCs/>
          <w:color w:val="000000" w:themeColor="text1"/>
          <w:u w:val="single"/>
          <w:lang w:val="en-US" w:eastAsia="zh-CN" w:bidi="ar"/>
        </w:rPr>
        <w:t>ANEXO I</w:t>
      </w:r>
      <w:r>
        <w:rPr>
          <w:rFonts w:ascii="Book Antiqua" w:hAnsi="Book Antiqua" w:eastAsia="TimesNewRomanPSMT" w:cs="Book Antiqua"/>
          <w:b/>
          <w:bCs/>
          <w:color w:val="000000" w:themeColor="text1"/>
          <w:u w:val="single"/>
          <w:lang w:eastAsia="zh-CN" w:bidi="ar"/>
        </w:rPr>
        <w:t xml:space="preserve"> deste Edital</w:t>
      </w:r>
      <w:r>
        <w:rPr>
          <w:rFonts w:ascii="Book Antiqua" w:hAnsi="Book Antiqua" w:eastAsia="TimesNewRomanPSMT" w:cs="Book Antiqua"/>
          <w:b/>
          <w:bCs/>
          <w:color w:val="000000" w:themeColor="text1"/>
          <w:u w:val="single"/>
          <w:lang w:val="en-US" w:eastAsia="zh-CN" w:bidi="ar"/>
        </w:rPr>
        <w:t xml:space="preserve"> (TERMO DE REFERÊNCIA)</w:t>
      </w:r>
      <w:r>
        <w:rPr>
          <w:rFonts w:ascii="Book Antiqua" w:hAnsi="Book Antiqua" w:eastAsia="TimesNewRomanPSMT" w:cs="Book Antiqua"/>
          <w:color w:val="000000"/>
          <w:u w:val="single"/>
          <w:lang w:val="en-US" w:eastAsia="zh-CN" w:bidi="ar"/>
        </w:rPr>
        <w:t xml:space="preserve">. </w:t>
      </w:r>
    </w:p>
    <w:p>
      <w:pPr>
        <w:pStyle w:val="83"/>
        <w:widowControl w:val="0"/>
        <w:tabs>
          <w:tab w:val="left" w:pos="-851"/>
        </w:tabs>
        <w:spacing w:after="40"/>
        <w:ind w:left="660" w:leftChars="300"/>
        <w:contextualSpacing w:val="0"/>
        <w:jc w:val="both"/>
        <w:rPr>
          <w:rFonts w:ascii="Book Antiqua" w:hAnsi="Book Antiqua" w:cs="Book Antiqua"/>
          <w:b/>
          <w:sz w:val="22"/>
          <w:szCs w:val="22"/>
          <w:u w:val="single"/>
        </w:rPr>
      </w:pPr>
      <w:r>
        <w:rPr>
          <w:rFonts w:ascii="Book Antiqua" w:hAnsi="Book Antiqua" w:eastAsia="TimesNewRomanPSMT" w:cs="Book Antiqua"/>
          <w:b/>
          <w:bCs/>
          <w:color w:val="000000"/>
          <w:sz w:val="22"/>
          <w:szCs w:val="22"/>
          <w:lang w:eastAsia="zh-CN" w:bidi="ar"/>
        </w:rPr>
        <w:t>6</w:t>
      </w:r>
      <w:r>
        <w:rPr>
          <w:rFonts w:ascii="Book Antiqua" w:hAnsi="Book Antiqua" w:eastAsia="TimesNewRomanPSMT" w:cs="Book Antiqua"/>
          <w:b/>
          <w:bCs/>
          <w:color w:val="000000"/>
          <w:sz w:val="22"/>
          <w:szCs w:val="22"/>
          <w:lang w:val="en-US" w:eastAsia="zh-CN" w:bidi="ar"/>
        </w:rPr>
        <w:t>.</w:t>
      </w:r>
      <w:r>
        <w:rPr>
          <w:rFonts w:ascii="Book Antiqua" w:hAnsi="Book Antiqua" w:eastAsia="TimesNewRomanPSMT" w:cs="Book Antiqua"/>
          <w:b/>
          <w:bCs/>
          <w:color w:val="000000"/>
          <w:sz w:val="22"/>
          <w:szCs w:val="22"/>
          <w:lang w:eastAsia="zh-CN" w:bidi="ar"/>
        </w:rPr>
        <w:t>3</w:t>
      </w:r>
      <w:r>
        <w:rPr>
          <w:rFonts w:ascii="Book Antiqua" w:hAnsi="Book Antiqua" w:eastAsia="TimesNewRomanPSMT" w:cs="Book Antiqua"/>
          <w:b/>
          <w:bCs/>
          <w:color w:val="000000"/>
          <w:sz w:val="22"/>
          <w:szCs w:val="22"/>
          <w:lang w:val="en-US" w:eastAsia="zh-CN" w:bidi="ar"/>
        </w:rPr>
        <w:t>.1.</w:t>
      </w:r>
      <w:r>
        <w:rPr>
          <w:rFonts w:ascii="Book Antiqua" w:hAnsi="Book Antiqua" w:eastAsia="TimesNewRomanPSMT" w:cs="Book Antiqua"/>
          <w:color w:val="000000"/>
          <w:sz w:val="22"/>
          <w:szCs w:val="22"/>
          <w:lang w:val="en-US" w:eastAsia="zh-CN" w:bidi="ar"/>
        </w:rPr>
        <w:t xml:space="preserve"> </w:t>
      </w:r>
      <w:r>
        <w:rPr>
          <w:rFonts w:ascii="Book Antiqua" w:hAnsi="Book Antiqua" w:cs="Book Antiqua"/>
          <w:sz w:val="22"/>
          <w:szCs w:val="22"/>
        </w:rPr>
        <w:t>A declaração falsa relativa ao cumprimento dos requisitos de habilitação e proposta sujeitará a licitante às sanções previstas no Edital e no art. 7º da Lei Federal nº 10.520/2002 e demais normas aplicáveis.</w:t>
      </w:r>
    </w:p>
    <w:p>
      <w:pPr>
        <w:pStyle w:val="83"/>
        <w:widowControl w:val="0"/>
        <w:numPr>
          <w:ilvl w:val="1"/>
          <w:numId w:val="9"/>
        </w:numPr>
        <w:tabs>
          <w:tab w:val="left" w:pos="-851"/>
          <w:tab w:val="clear" w:pos="720"/>
        </w:tabs>
        <w:spacing w:after="40"/>
        <w:ind w:left="0" w:firstLine="0"/>
        <w:contextualSpacing w:val="0"/>
        <w:jc w:val="both"/>
        <w:rPr>
          <w:rFonts w:ascii="Book Antiqua" w:hAnsi="Book Antiqua" w:cs="Book Antiqua"/>
          <w:sz w:val="22"/>
          <w:szCs w:val="22"/>
        </w:rPr>
      </w:pPr>
      <w:r>
        <w:rPr>
          <w:rFonts w:ascii="Book Antiqua" w:hAnsi="Book Antiqua" w:cs="Book Antiqua"/>
          <w:sz w:val="22"/>
          <w:szCs w:val="22"/>
        </w:rPr>
        <w:t xml:space="preserve">Não cabe aos licitantes, após sua abertura, alegação de desconhecimento de seus itens ou reclamação quanto ao seu conteúdo. Antes de elaborar suas propostas, as licitantes deverão ler atentamente o Edital e seus anexos, devendo estar em conformidade com as especificações do </w:t>
      </w:r>
      <w:r>
        <w:rPr>
          <w:rFonts w:ascii="Book Antiqua" w:hAnsi="Book Antiqua" w:cs="Book Antiqua"/>
          <w:b/>
          <w:sz w:val="22"/>
          <w:szCs w:val="22"/>
          <w:u w:val="single"/>
        </w:rPr>
        <w:t>ANEXO I (TERMO DE REFERÊNCIA).</w:t>
      </w:r>
    </w:p>
    <w:p>
      <w:pPr>
        <w:pStyle w:val="83"/>
        <w:widowControl w:val="0"/>
        <w:numPr>
          <w:ilvl w:val="1"/>
          <w:numId w:val="9"/>
        </w:numPr>
        <w:tabs>
          <w:tab w:val="left" w:pos="-851"/>
          <w:tab w:val="clear" w:pos="720"/>
        </w:tabs>
        <w:spacing w:after="60"/>
        <w:ind w:left="0" w:firstLine="0"/>
        <w:contextualSpacing w:val="0"/>
        <w:jc w:val="both"/>
        <w:rPr>
          <w:rFonts w:ascii="Book Antiqua" w:hAnsi="Book Antiqua"/>
          <w:b/>
          <w:bCs/>
          <w:sz w:val="22"/>
        </w:rPr>
      </w:pPr>
      <w:r>
        <w:rPr>
          <w:rFonts w:ascii="Book Antiqua" w:hAnsi="Book Antiqua"/>
          <w:b/>
          <w:bCs/>
          <w:sz w:val="22"/>
          <w:highlight w:val="lightGray"/>
        </w:rPr>
        <w:t>Poderão participar deste PREGÃO ELETRÔNICO às empresas que:</w:t>
      </w:r>
    </w:p>
    <w:p>
      <w:pPr>
        <w:numPr>
          <w:ilvl w:val="2"/>
          <w:numId w:val="9"/>
        </w:numPr>
        <w:tabs>
          <w:tab w:val="left" w:pos="0"/>
          <w:tab w:val="clear" w:pos="1288"/>
        </w:tabs>
        <w:spacing w:after="60"/>
        <w:ind w:left="8" w:hanging="8"/>
        <w:jc w:val="both"/>
        <w:rPr>
          <w:rFonts w:ascii="Book Antiqua" w:hAnsi="Book Antiqua"/>
        </w:rPr>
      </w:pPr>
      <w:r>
        <w:rPr>
          <w:rFonts w:ascii="Book Antiqua" w:hAnsi="Book Antiqua" w:eastAsia="SimSun" w:cs="Book Antiqua"/>
          <w:color w:val="000000"/>
          <w:lang w:val="en-US" w:eastAsia="zh-CN" w:bidi="ar"/>
        </w:rPr>
        <w:t>Poderão participar deste Pregão interessados cujo ramo de atividade seja compatível com o objeto desta licitação, e que estejam com Credenciamento regular no Sistema de Cadastramento Unificado de Fornecedores – SICAF, conforme disposto no art. 9º da IN SEGES/ MP nº 3, de 2018.</w:t>
      </w:r>
    </w:p>
    <w:p>
      <w:pPr>
        <w:numPr>
          <w:ilvl w:val="2"/>
          <w:numId w:val="9"/>
        </w:numPr>
        <w:tabs>
          <w:tab w:val="left" w:pos="0"/>
          <w:tab w:val="clear" w:pos="1288"/>
        </w:tabs>
        <w:spacing w:after="60"/>
        <w:ind w:left="0" w:firstLine="0"/>
        <w:jc w:val="both"/>
        <w:rPr>
          <w:rFonts w:ascii="Book Antiqua" w:hAnsi="Book Antiqua"/>
        </w:rPr>
      </w:pPr>
      <w:r>
        <w:rPr>
          <w:rFonts w:ascii="Book Antiqua" w:hAnsi="Book Antiqua"/>
        </w:rPr>
        <w:t xml:space="preserve">Estiverem regularmente </w:t>
      </w:r>
      <w:r>
        <w:rPr>
          <w:rFonts w:ascii="Book Antiqua" w:hAnsi="Book Antiqua"/>
          <w:color w:val="000000" w:themeColor="text1"/>
        </w:rPr>
        <w:t>estabelecidas no País, cuja finalidade e ramo de atividade sejam compatíveis com o objeto desta Licitação,</w:t>
      </w:r>
      <w:r>
        <w:rPr>
          <w:rFonts w:ascii="Book Antiqua" w:hAnsi="Book Antiqua"/>
        </w:rPr>
        <w:t xml:space="preserve"> mediante comprovação das regularidades fiscais, obedecendo à legislação que rege a matéria;</w:t>
      </w:r>
    </w:p>
    <w:p>
      <w:pPr>
        <w:pStyle w:val="83"/>
        <w:widowControl w:val="0"/>
        <w:numPr>
          <w:ilvl w:val="2"/>
          <w:numId w:val="9"/>
        </w:numPr>
        <w:tabs>
          <w:tab w:val="left" w:pos="-851"/>
          <w:tab w:val="clear" w:pos="1288"/>
        </w:tabs>
        <w:spacing w:after="60"/>
        <w:ind w:left="0" w:firstLine="0"/>
        <w:contextualSpacing w:val="0"/>
        <w:jc w:val="both"/>
        <w:rPr>
          <w:rFonts w:ascii="Book Antiqua" w:hAnsi="Book Antiqua"/>
          <w:sz w:val="22"/>
        </w:rPr>
      </w:pPr>
      <w:r>
        <w:rPr>
          <w:rFonts w:ascii="Book Antiqua" w:hAnsi="Book Antiqua"/>
          <w:sz w:val="22"/>
        </w:rPr>
        <w:t xml:space="preserve">Atendam às condições deste EDITAL e seus Anexos, inclusive quanto à documentação exigida para habilitação, e estiverem devidamente credenciados na Secretaria de Logística e Tecnologia da Informação – SLTI, do Ministério do Planejamento, Orçamento e Gestão, por meio do site </w:t>
      </w:r>
      <w:r>
        <w:fldChar w:fldCharType="begin"/>
      </w:r>
      <w:r>
        <w:instrText xml:space="preserve"> HYPERLINK "http://www.comprasnet.gov.br" </w:instrText>
      </w:r>
      <w:r>
        <w:fldChar w:fldCharType="separate"/>
      </w:r>
      <w:r>
        <w:rPr>
          <w:rStyle w:val="19"/>
          <w:rFonts w:ascii="Book Antiqua" w:hAnsi="Book Antiqua"/>
          <w:b/>
          <w:bCs/>
          <w:sz w:val="22"/>
        </w:rPr>
        <w:t>www.gov.br</w:t>
      </w:r>
      <w:r>
        <w:rPr>
          <w:rStyle w:val="19"/>
          <w:rFonts w:ascii="Book Antiqua" w:hAnsi="Book Antiqua"/>
          <w:b/>
          <w:bCs/>
          <w:sz w:val="22"/>
        </w:rPr>
        <w:fldChar w:fldCharType="end"/>
      </w:r>
      <w:r>
        <w:rPr>
          <w:rStyle w:val="19"/>
          <w:rFonts w:ascii="Book Antiqua" w:hAnsi="Book Antiqua"/>
          <w:b/>
          <w:bCs/>
          <w:sz w:val="22"/>
        </w:rPr>
        <w:t>/compras</w:t>
      </w:r>
      <w:r>
        <w:rPr>
          <w:rFonts w:ascii="Book Antiqua" w:hAnsi="Book Antiqua"/>
          <w:sz w:val="22"/>
        </w:rPr>
        <w:t>;</w:t>
      </w:r>
    </w:p>
    <w:p>
      <w:pPr>
        <w:pStyle w:val="83"/>
        <w:widowControl w:val="0"/>
        <w:numPr>
          <w:ilvl w:val="2"/>
          <w:numId w:val="9"/>
        </w:numPr>
        <w:tabs>
          <w:tab w:val="left" w:pos="-851"/>
          <w:tab w:val="clear" w:pos="1288"/>
        </w:tabs>
        <w:spacing w:after="60"/>
        <w:ind w:left="0" w:firstLine="0"/>
        <w:contextualSpacing w:val="0"/>
        <w:jc w:val="both"/>
        <w:rPr>
          <w:rFonts w:ascii="Book Antiqua" w:hAnsi="Book Antiqua" w:cs="Book Antiqua"/>
          <w:sz w:val="22"/>
          <w:szCs w:val="22"/>
        </w:rPr>
      </w:pPr>
      <w:r>
        <w:rPr>
          <w:rFonts w:ascii="Book Antiqua" w:hAnsi="Book Antiqua" w:eastAsia="TimesNewRomanPSMT" w:cs="Book Antiqua"/>
          <w:color w:val="000000"/>
          <w:sz w:val="22"/>
          <w:szCs w:val="22"/>
          <w:lang w:val="en-US" w:eastAsia="zh-CN" w:bidi="ar"/>
        </w:rPr>
        <w:t xml:space="preserve">Como requisito para participação deste Pregão Eletrônico, a licitante deverá manifestar, em campo próprio do Sistema Eletrônico, que cumpre plenamente os requisitos de habilitação e que sua proposta encontra-se em conformidade com as exigências previstas neste Edital, ressalvados os casos de participação de microempresa e de empresa de pequeno porte, no que concerne a regularidade fiscal. </w:t>
      </w:r>
    </w:p>
    <w:p>
      <w:pPr>
        <w:pStyle w:val="32"/>
        <w:widowControl w:val="0"/>
        <w:numPr>
          <w:ilvl w:val="1"/>
          <w:numId w:val="9"/>
        </w:numPr>
        <w:tabs>
          <w:tab w:val="left" w:pos="567"/>
          <w:tab w:val="clear" w:pos="720"/>
        </w:tabs>
        <w:spacing w:after="60"/>
        <w:ind w:left="0" w:firstLine="0"/>
        <w:jc w:val="both"/>
        <w:rPr>
          <w:rFonts w:ascii="Book Antiqua" w:hAnsi="Book Antiqua"/>
          <w:sz w:val="22"/>
          <w:highlight w:val="lightGray"/>
        </w:rPr>
      </w:pPr>
      <w:r>
        <w:rPr>
          <w:rFonts w:ascii="Book Antiqua" w:hAnsi="Book Antiqua"/>
          <w:sz w:val="22"/>
          <w:highlight w:val="lightGray"/>
          <w:u w:val="single"/>
        </w:rPr>
        <w:t>Não poderão participar</w:t>
      </w:r>
      <w:r>
        <w:rPr>
          <w:rFonts w:ascii="Book Antiqua" w:hAnsi="Book Antiqua"/>
          <w:sz w:val="22"/>
          <w:highlight w:val="lightGray"/>
        </w:rPr>
        <w:t xml:space="preserve"> deste PREGÃO ELETRÔNICO, empresas que estejam enquadradas nos seguintes casos:</w:t>
      </w:r>
    </w:p>
    <w:p>
      <w:pPr>
        <w:pStyle w:val="83"/>
        <w:numPr>
          <w:ilvl w:val="2"/>
          <w:numId w:val="9"/>
        </w:numPr>
        <w:tabs>
          <w:tab w:val="left" w:pos="567"/>
          <w:tab w:val="clear" w:pos="1288"/>
        </w:tabs>
        <w:spacing w:after="60"/>
        <w:ind w:left="0" w:firstLine="0"/>
        <w:contextualSpacing w:val="0"/>
        <w:jc w:val="both"/>
        <w:rPr>
          <w:rFonts w:ascii="Book Antiqua" w:hAnsi="Book Antiqua"/>
          <w:sz w:val="22"/>
        </w:rPr>
      </w:pPr>
      <w:r>
        <w:rPr>
          <w:rFonts w:ascii="Book Antiqua" w:hAnsi="Book Antiqua"/>
          <w:sz w:val="22"/>
          <w:szCs w:val="22"/>
        </w:rPr>
        <w:t>Organizações da Sociedade Civil de Interesse Público - OSCIP, atuando nessa condição (Acórdão nº 746/2014-TCU-Plenário).</w:t>
      </w:r>
    </w:p>
    <w:p>
      <w:pPr>
        <w:pStyle w:val="83"/>
        <w:numPr>
          <w:ilvl w:val="2"/>
          <w:numId w:val="9"/>
        </w:numPr>
        <w:tabs>
          <w:tab w:val="left" w:pos="567"/>
          <w:tab w:val="clear" w:pos="1288"/>
        </w:tabs>
        <w:spacing w:after="60"/>
        <w:ind w:left="0" w:firstLine="0"/>
        <w:contextualSpacing w:val="0"/>
        <w:jc w:val="both"/>
        <w:rPr>
          <w:rFonts w:ascii="Book Antiqua" w:hAnsi="Book Antiqua"/>
          <w:sz w:val="22"/>
        </w:rPr>
      </w:pPr>
      <w:r>
        <w:rPr>
          <w:rFonts w:ascii="Book Antiqua" w:hAnsi="Book Antiqua"/>
          <w:sz w:val="22"/>
        </w:rPr>
        <w:t>Que se encontrem sob falência, concordata, concurso de credores, dissolução ou liquidação;</w:t>
      </w:r>
    </w:p>
    <w:p>
      <w:pPr>
        <w:pStyle w:val="83"/>
        <w:numPr>
          <w:ilvl w:val="2"/>
          <w:numId w:val="9"/>
        </w:numPr>
        <w:tabs>
          <w:tab w:val="left" w:pos="567"/>
          <w:tab w:val="clear" w:pos="1288"/>
        </w:tabs>
        <w:spacing w:after="60"/>
        <w:ind w:left="0" w:firstLine="0"/>
        <w:contextualSpacing w:val="0"/>
        <w:jc w:val="both"/>
        <w:rPr>
          <w:rFonts w:ascii="Book Antiqua" w:hAnsi="Book Antiqua"/>
          <w:sz w:val="22"/>
        </w:rPr>
      </w:pPr>
      <w:r>
        <w:rPr>
          <w:rFonts w:ascii="Book Antiqua" w:hAnsi="Book Antiqua"/>
          <w:sz w:val="22"/>
        </w:rPr>
        <w:t>Quaisquer interessados que se enquadre nas vedações previstas no artigo 9º da Lei nº 8.666/93.</w:t>
      </w:r>
    </w:p>
    <w:p>
      <w:pPr>
        <w:pStyle w:val="83"/>
        <w:numPr>
          <w:ilvl w:val="2"/>
          <w:numId w:val="9"/>
        </w:numPr>
        <w:tabs>
          <w:tab w:val="left" w:pos="567"/>
          <w:tab w:val="clear" w:pos="1288"/>
        </w:tabs>
        <w:spacing w:after="60"/>
        <w:ind w:left="0" w:firstLine="0"/>
        <w:contextualSpacing w:val="0"/>
        <w:jc w:val="both"/>
        <w:rPr>
          <w:rFonts w:ascii="Book Antiqua" w:hAnsi="Book Antiqua"/>
          <w:sz w:val="22"/>
        </w:rPr>
      </w:pPr>
      <w:r>
        <w:rPr>
          <w:rFonts w:ascii="Book Antiqua" w:hAnsi="Book Antiqua"/>
          <w:sz w:val="22"/>
        </w:rPr>
        <w:t>Empresas proibidas de contratar com o Poder Público nos termos do art. 12 da Lei nº 8.429/92 (Lei de Improbidade Administrativa);</w:t>
      </w:r>
    </w:p>
    <w:p>
      <w:pPr>
        <w:pStyle w:val="83"/>
        <w:numPr>
          <w:ilvl w:val="2"/>
          <w:numId w:val="9"/>
        </w:numPr>
        <w:tabs>
          <w:tab w:val="left" w:pos="567"/>
          <w:tab w:val="clear" w:pos="1288"/>
        </w:tabs>
        <w:spacing w:after="60"/>
        <w:ind w:left="0" w:firstLine="0"/>
        <w:contextualSpacing w:val="0"/>
        <w:jc w:val="both"/>
        <w:rPr>
          <w:rFonts w:ascii="Book Antiqua" w:hAnsi="Book Antiqua"/>
          <w:sz w:val="22"/>
        </w:rPr>
      </w:pPr>
      <w:r>
        <w:rPr>
          <w:rFonts w:ascii="Book Antiqua" w:hAnsi="Book Antiqua"/>
          <w:sz w:val="22"/>
        </w:rPr>
        <w:t>Que se apresentem constituídas na forma de empresas em consórcio, qualquer que seja sua forma de constituição, sejam controladoras, coligadas ou subsidiárias entre si;</w:t>
      </w:r>
    </w:p>
    <w:p>
      <w:pPr>
        <w:pStyle w:val="83"/>
        <w:numPr>
          <w:ilvl w:val="2"/>
          <w:numId w:val="9"/>
        </w:numPr>
        <w:tabs>
          <w:tab w:val="left" w:pos="567"/>
          <w:tab w:val="clear" w:pos="1288"/>
        </w:tabs>
        <w:spacing w:after="60"/>
        <w:ind w:left="0" w:firstLine="0"/>
        <w:contextualSpacing w:val="0"/>
        <w:jc w:val="both"/>
        <w:rPr>
          <w:rFonts w:ascii="Book Antiqua" w:hAnsi="Book Antiqua"/>
          <w:sz w:val="22"/>
        </w:rPr>
      </w:pPr>
      <w:r>
        <w:rPr>
          <w:rFonts w:ascii="Book Antiqua" w:hAnsi="Book Antiqua"/>
          <w:sz w:val="22"/>
        </w:rPr>
        <w:t>Justificativas para a Vedação de Consórcios:</w:t>
      </w:r>
    </w:p>
    <w:p>
      <w:pPr>
        <w:pStyle w:val="40"/>
        <w:widowControl w:val="0"/>
        <w:spacing w:after="80"/>
        <w:ind w:left="660" w:leftChars="300" w:firstLine="0"/>
        <w:jc w:val="both"/>
        <w:rPr>
          <w:rFonts w:ascii="Book Antiqua" w:hAnsi="Book Antiqua"/>
          <w:sz w:val="22"/>
        </w:rPr>
      </w:pPr>
      <w:r>
        <w:rPr>
          <w:rFonts w:ascii="Book Antiqua" w:hAnsi="Book Antiqua"/>
          <w:b/>
          <w:bCs/>
          <w:sz w:val="22"/>
        </w:rPr>
        <w:t>a)</w:t>
      </w:r>
      <w:r>
        <w:rPr>
          <w:rFonts w:ascii="Book Antiqua" w:hAnsi="Book Antiqua"/>
          <w:sz w:val="22"/>
        </w:rPr>
        <w:t xml:space="preserve"> A vedação à participação de empresas interessadas que se apresentem constituídas sob a forma de consórcio se justifica na medida em que nas contratações de serviços e nas aquisições de pequenos vultos, não se torna interessante a participação de grandes empresas, sendo comum a participação de empresas de pequeno e médio porte, às quais, em sua maioria, apresentam o mínimo exigido no tocante à qualificação técnica e econômico-financeira, condições suficientes para a execução de contratos dessa natureza.</w:t>
      </w:r>
    </w:p>
    <w:p>
      <w:pPr>
        <w:widowControl w:val="0"/>
        <w:spacing w:after="80"/>
        <w:ind w:left="660" w:leftChars="300"/>
        <w:jc w:val="both"/>
        <w:rPr>
          <w:rFonts w:ascii="Book Antiqua" w:hAnsi="Book Antiqua"/>
        </w:rPr>
      </w:pPr>
      <w:r>
        <w:rPr>
          <w:rFonts w:ascii="Book Antiqua" w:hAnsi="Book Antiqua"/>
          <w:b/>
          <w:bCs/>
        </w:rPr>
        <w:t>b)</w:t>
      </w:r>
      <w:r>
        <w:rPr>
          <w:rFonts w:ascii="Book Antiqua" w:hAnsi="Book Antiqua"/>
        </w:rPr>
        <w:t xml:space="preserve"> Tendo em vista que é prerrogativa do Poder Público, na condição de contratante, a escolha da participação, ou não, de empresas constituídas sob a forma de consórcio, com as devidas justificativas, conforme se depreende da literalidade do texto da Lei Federal nº 8.666/93, art. 33 e ainda o entendimento do Acórdão TCU nº 1316/2010, que atribui à Administração a prerrogativa de admissão de consórcios em licitações por ela promovidas, pelos motivos já expostos, conclui-se que a vedação de constituição de empresas em consórcio, neste certame, é o que melhor atende o interesse público, por prestigiar os princípios da competitividade, economicidade e moralidade.</w:t>
      </w:r>
    </w:p>
    <w:p>
      <w:pPr>
        <w:pStyle w:val="83"/>
        <w:numPr>
          <w:ilvl w:val="2"/>
          <w:numId w:val="9"/>
        </w:numPr>
        <w:tabs>
          <w:tab w:val="left" w:pos="567"/>
          <w:tab w:val="clear" w:pos="1288"/>
        </w:tabs>
        <w:spacing w:after="60"/>
        <w:ind w:left="0" w:firstLine="0"/>
        <w:contextualSpacing w:val="0"/>
        <w:jc w:val="both"/>
        <w:rPr>
          <w:rFonts w:ascii="Book Antiqua" w:hAnsi="Book Antiqua"/>
          <w:sz w:val="22"/>
          <w:szCs w:val="22"/>
        </w:rPr>
      </w:pPr>
      <w:r>
        <w:rPr>
          <w:rFonts w:ascii="Book Antiqua" w:hAnsi="Book Antiqua"/>
          <w:sz w:val="22"/>
          <w:szCs w:val="22"/>
        </w:rPr>
        <w:t>Que, por quaisquer motivos, tenham sido declaradas inidôneas ou punidas com suspensão por órgão da Administração Pública Direta ou Indireta, na esfera Federal, Estadual ou Municipal, desde que o Ato tenha sido publicado na imprensa oficial, pelo órgão que a praticou, enquanto perdurarem os motivos determinantes da punição;</w:t>
      </w:r>
    </w:p>
    <w:p>
      <w:pPr>
        <w:pStyle w:val="83"/>
        <w:numPr>
          <w:ilvl w:val="3"/>
          <w:numId w:val="9"/>
        </w:numPr>
        <w:tabs>
          <w:tab w:val="left" w:pos="567"/>
          <w:tab w:val="clear" w:pos="1080"/>
        </w:tabs>
        <w:spacing w:after="60"/>
        <w:ind w:left="660" w:firstLine="0"/>
        <w:contextualSpacing w:val="0"/>
        <w:jc w:val="both"/>
        <w:rPr>
          <w:rFonts w:ascii="Book Antiqua" w:hAnsi="Book Antiqua"/>
          <w:sz w:val="22"/>
          <w:szCs w:val="22"/>
        </w:rPr>
      </w:pPr>
      <w:r>
        <w:rPr>
          <w:rFonts w:ascii="Book Antiqua" w:hAnsi="Book Antiqua"/>
          <w:sz w:val="22"/>
          <w:szCs w:val="22"/>
        </w:rPr>
        <w:t>Empresa declarada inidônea para licitar ou contratar com a Administração Pública;</w:t>
      </w:r>
    </w:p>
    <w:p>
      <w:pPr>
        <w:pStyle w:val="83"/>
        <w:numPr>
          <w:ilvl w:val="3"/>
          <w:numId w:val="9"/>
        </w:numPr>
        <w:tabs>
          <w:tab w:val="left" w:pos="567"/>
          <w:tab w:val="clear" w:pos="1080"/>
        </w:tabs>
        <w:spacing w:after="60"/>
        <w:ind w:left="660" w:firstLine="0"/>
        <w:contextualSpacing w:val="0"/>
        <w:jc w:val="both"/>
        <w:rPr>
          <w:rFonts w:ascii="Book Antiqua" w:hAnsi="Book Antiqua"/>
          <w:sz w:val="22"/>
          <w:szCs w:val="22"/>
        </w:rPr>
      </w:pPr>
      <w:r>
        <w:rPr>
          <w:rFonts w:ascii="Book Antiqua" w:hAnsi="Book Antiqua"/>
          <w:sz w:val="22"/>
          <w:szCs w:val="22"/>
        </w:rPr>
        <w:t>Empresa impedida de licitar e contratar com o Município de Ariquemes/RO;</w:t>
      </w:r>
    </w:p>
    <w:p>
      <w:pPr>
        <w:pStyle w:val="83"/>
        <w:numPr>
          <w:ilvl w:val="3"/>
          <w:numId w:val="9"/>
        </w:numPr>
        <w:tabs>
          <w:tab w:val="left" w:pos="567"/>
          <w:tab w:val="clear" w:pos="1080"/>
        </w:tabs>
        <w:spacing w:after="60"/>
        <w:ind w:left="660" w:firstLine="0"/>
        <w:contextualSpacing w:val="0"/>
        <w:jc w:val="both"/>
        <w:rPr>
          <w:rFonts w:ascii="Book Antiqua" w:hAnsi="Book Antiqua"/>
          <w:sz w:val="22"/>
          <w:szCs w:val="22"/>
        </w:rPr>
      </w:pPr>
      <w:r>
        <w:rPr>
          <w:rFonts w:ascii="Book Antiqua" w:hAnsi="Book Antiqua"/>
          <w:sz w:val="22"/>
          <w:szCs w:val="22"/>
        </w:rPr>
        <w:t>Empresa suspensa temporariamente do direito de licitar e impedida de contratar com esta Prefeitura.</w:t>
      </w:r>
    </w:p>
    <w:p>
      <w:pPr>
        <w:pStyle w:val="83"/>
        <w:numPr>
          <w:ilvl w:val="3"/>
          <w:numId w:val="9"/>
        </w:numPr>
        <w:tabs>
          <w:tab w:val="left" w:pos="567"/>
          <w:tab w:val="clear" w:pos="1080"/>
        </w:tabs>
        <w:spacing w:after="60"/>
        <w:ind w:left="660" w:firstLine="0"/>
        <w:contextualSpacing w:val="0"/>
        <w:jc w:val="both"/>
        <w:rPr>
          <w:rFonts w:ascii="Book Antiqua" w:hAnsi="Book Antiqua"/>
          <w:sz w:val="22"/>
          <w:szCs w:val="22"/>
        </w:rPr>
      </w:pPr>
      <w:r>
        <w:rPr>
          <w:rFonts w:ascii="Book Antiqua" w:hAnsi="Book Antiqua"/>
          <w:sz w:val="22"/>
          <w:szCs w:val="22"/>
        </w:rPr>
        <w:t>Empresa punida com suspensão temporária do direito de licitar e contratar, por órgão da Administração Pública Direta ou Indireta, nas esferas Federal, Estadual ou Municipal, desde que o Ato tenha sido publicado na imprensa oficial ou registrado no SICAF, conforme o caso, enquanto perdurarem os motivos determinantes da punição.</w:t>
      </w:r>
    </w:p>
    <w:p>
      <w:pPr>
        <w:pStyle w:val="83"/>
        <w:numPr>
          <w:ilvl w:val="1"/>
          <w:numId w:val="9"/>
        </w:numPr>
        <w:tabs>
          <w:tab w:val="left" w:pos="567"/>
          <w:tab w:val="clear" w:pos="720"/>
        </w:tabs>
        <w:spacing w:after="60"/>
        <w:ind w:left="0" w:firstLine="0"/>
        <w:contextualSpacing w:val="0"/>
        <w:jc w:val="both"/>
        <w:rPr>
          <w:rFonts w:ascii="Book Antiqua" w:hAnsi="Book Antiqua"/>
          <w:b/>
          <w:sz w:val="22"/>
          <w:szCs w:val="22"/>
        </w:rPr>
      </w:pPr>
      <w:r>
        <w:rPr>
          <w:rFonts w:ascii="Book Antiqua" w:hAnsi="Book Antiqua"/>
          <w:sz w:val="22"/>
          <w:szCs w:val="22"/>
        </w:rPr>
        <w:t>Empresas estrangeiras que não atenderem as exigências de habilitação, onde tais serão exigidas mediante documentações equivalentes, autenticados pelos respectivos consulados e traduzidos por tradutor juramentado;</w:t>
      </w:r>
    </w:p>
    <w:p>
      <w:pPr>
        <w:pStyle w:val="83"/>
        <w:numPr>
          <w:ilvl w:val="1"/>
          <w:numId w:val="9"/>
        </w:numPr>
        <w:tabs>
          <w:tab w:val="left" w:pos="567"/>
          <w:tab w:val="clear" w:pos="720"/>
        </w:tabs>
        <w:spacing w:after="60"/>
        <w:ind w:left="0" w:firstLine="0"/>
        <w:contextualSpacing w:val="0"/>
        <w:jc w:val="both"/>
        <w:rPr>
          <w:rFonts w:ascii="Book Antiqua" w:hAnsi="Book Antiqua"/>
          <w:sz w:val="22"/>
          <w:szCs w:val="22"/>
        </w:rPr>
      </w:pPr>
      <w:r>
        <w:rPr>
          <w:rFonts w:ascii="Book Antiqua" w:hAnsi="Book Antiqua"/>
          <w:b/>
          <w:sz w:val="22"/>
          <w:szCs w:val="22"/>
          <w:highlight w:val="lightGray"/>
          <w:u w:val="single"/>
        </w:rPr>
        <w:t>Não poderão concorrer direta ou indiretamente nesta licitação:</w:t>
      </w:r>
    </w:p>
    <w:p>
      <w:pPr>
        <w:pStyle w:val="83"/>
        <w:numPr>
          <w:ilvl w:val="2"/>
          <w:numId w:val="9"/>
        </w:numPr>
        <w:tabs>
          <w:tab w:val="left" w:pos="567"/>
          <w:tab w:val="left" w:pos="880"/>
          <w:tab w:val="left" w:pos="1320"/>
          <w:tab w:val="clear" w:pos="1288"/>
        </w:tabs>
        <w:spacing w:after="60"/>
        <w:ind w:left="660" w:hanging="8"/>
        <w:contextualSpacing w:val="0"/>
        <w:jc w:val="both"/>
        <w:rPr>
          <w:rFonts w:ascii="Book Antiqua" w:hAnsi="Book Antiqua"/>
          <w:sz w:val="22"/>
          <w:szCs w:val="22"/>
        </w:rPr>
      </w:pPr>
      <w:r>
        <w:rPr>
          <w:rFonts w:ascii="Book Antiqua" w:hAnsi="Book Antiqua"/>
          <w:sz w:val="22"/>
          <w:szCs w:val="22"/>
        </w:rPr>
        <w:t>Servidor de qualquer Órgão ou Entidade vinculada ao Órgão promotor da licitação, bem assim a empresa da qual tal servidor seja sócio, dirigente ou responsável técnico.</w:t>
      </w:r>
    </w:p>
    <w:p>
      <w:pPr>
        <w:pStyle w:val="83"/>
        <w:numPr>
          <w:ilvl w:val="2"/>
          <w:numId w:val="9"/>
        </w:numPr>
        <w:tabs>
          <w:tab w:val="left" w:pos="567"/>
          <w:tab w:val="left" w:pos="880"/>
          <w:tab w:val="left" w:pos="1320"/>
          <w:tab w:val="clear" w:pos="1288"/>
        </w:tabs>
        <w:spacing w:after="60"/>
        <w:ind w:left="660" w:hanging="8"/>
        <w:contextualSpacing w:val="0"/>
        <w:jc w:val="both"/>
        <w:rPr>
          <w:rFonts w:ascii="Book Antiqua" w:hAnsi="Book Antiqua"/>
          <w:sz w:val="22"/>
          <w:szCs w:val="22"/>
        </w:rPr>
      </w:pPr>
      <w:r>
        <w:rPr>
          <w:rFonts w:ascii="Book Antiqua" w:hAnsi="Book Antiqua"/>
          <w:sz w:val="22"/>
          <w:szCs w:val="22"/>
        </w:rPr>
        <w:t>Servidor público na qualidade de diretor ou integrante de conselho da empresa licitante, bem como, procurador/representante da empresa, em conformidade com o artigo 12 da Constituição Estadual c/c artigo 155 da Lei Complementar 68/92.</w:t>
      </w:r>
    </w:p>
    <w:p>
      <w:pPr>
        <w:pStyle w:val="83"/>
        <w:numPr>
          <w:ilvl w:val="2"/>
          <w:numId w:val="9"/>
        </w:numPr>
        <w:tabs>
          <w:tab w:val="left" w:pos="567"/>
          <w:tab w:val="left" w:pos="880"/>
          <w:tab w:val="left" w:pos="1320"/>
          <w:tab w:val="clear" w:pos="1288"/>
        </w:tabs>
        <w:spacing w:after="60"/>
        <w:ind w:left="660" w:hanging="8"/>
        <w:contextualSpacing w:val="0"/>
        <w:jc w:val="both"/>
        <w:rPr>
          <w:rFonts w:ascii="Book Antiqua" w:hAnsi="Book Antiqua"/>
          <w:sz w:val="22"/>
        </w:rPr>
      </w:pPr>
      <w:r>
        <w:rPr>
          <w:rFonts w:ascii="Book Antiqua" w:hAnsi="Book Antiqua"/>
          <w:sz w:val="22"/>
          <w:szCs w:val="22"/>
        </w:rPr>
        <w:t>Condenados por atos de improbidade administrativa nos termos da Lei 8.429/1992.</w:t>
      </w:r>
    </w:p>
    <w:p>
      <w:pPr>
        <w:pStyle w:val="83"/>
        <w:numPr>
          <w:ilvl w:val="2"/>
          <w:numId w:val="9"/>
        </w:numPr>
        <w:tabs>
          <w:tab w:val="left" w:pos="567"/>
          <w:tab w:val="left" w:pos="880"/>
          <w:tab w:val="left" w:pos="1320"/>
          <w:tab w:val="clear" w:pos="1288"/>
        </w:tabs>
        <w:spacing w:after="60"/>
        <w:ind w:left="660" w:hanging="8"/>
        <w:contextualSpacing w:val="0"/>
        <w:jc w:val="both"/>
        <w:rPr>
          <w:rFonts w:ascii="Book Antiqua" w:hAnsi="Book Antiqua" w:cs="Book Antiqua"/>
          <w:bCs/>
          <w:sz w:val="22"/>
          <w:szCs w:val="22"/>
        </w:rPr>
      </w:pPr>
      <w:r>
        <w:rPr>
          <w:rFonts w:ascii="Book Antiqua" w:hAnsi="Book Antiqua"/>
          <w:sz w:val="22"/>
        </w:rPr>
        <w:t>Quaisquer interessados que se enquadre nas vedações previstas no artigo 9º da Lei nº 8.666/93.</w:t>
      </w:r>
    </w:p>
    <w:p>
      <w:pPr>
        <w:pStyle w:val="83"/>
        <w:numPr>
          <w:ilvl w:val="2"/>
          <w:numId w:val="9"/>
        </w:numPr>
        <w:tabs>
          <w:tab w:val="left" w:pos="567"/>
          <w:tab w:val="left" w:pos="880"/>
          <w:tab w:val="left" w:pos="1320"/>
          <w:tab w:val="clear" w:pos="1288"/>
        </w:tabs>
        <w:spacing w:after="60"/>
        <w:ind w:left="660" w:hanging="8"/>
        <w:contextualSpacing w:val="0"/>
        <w:jc w:val="both"/>
        <w:rPr>
          <w:rFonts w:ascii="Book Antiqua" w:hAnsi="Book Antiqua" w:cs="Book Antiqua"/>
          <w:sz w:val="22"/>
          <w:szCs w:val="22"/>
        </w:rPr>
      </w:pPr>
      <w:r>
        <w:rPr>
          <w:rFonts w:ascii="Book Antiqua" w:hAnsi="Book Antiqua" w:cs="Book Antiqua"/>
          <w:bCs/>
          <w:sz w:val="22"/>
          <w:szCs w:val="22"/>
        </w:rPr>
        <w:t>A Licitante arcará integralmente com todos os custos de preparação e apresentação de sua proposta de preços, independente do resultado do procedimento licitatório.</w:t>
      </w:r>
    </w:p>
    <w:p>
      <w:pPr>
        <w:pStyle w:val="83"/>
        <w:numPr>
          <w:ilvl w:val="1"/>
          <w:numId w:val="9"/>
        </w:numPr>
        <w:tabs>
          <w:tab w:val="left" w:pos="567"/>
          <w:tab w:val="clear" w:pos="720"/>
        </w:tabs>
        <w:spacing w:after="60"/>
        <w:ind w:left="0" w:firstLine="0"/>
        <w:contextualSpacing w:val="0"/>
        <w:jc w:val="both"/>
        <w:rPr>
          <w:rFonts w:ascii="Book Antiqua" w:hAnsi="Book Antiqua"/>
          <w:sz w:val="22"/>
        </w:rPr>
      </w:pPr>
      <w:r>
        <w:rPr>
          <w:rFonts w:ascii="Book Antiqua" w:hAnsi="Book Antiqua" w:cs="Book Antiqua"/>
          <w:sz w:val="22"/>
          <w:szCs w:val="22"/>
        </w:rPr>
        <w:t xml:space="preserve">Uma Licitante, ou grupo, suas filiais ou empresas que fazem parte de um mesmo grupo econômico ou financeiro, somente poderá apresentar uma única proposta de preços. Caso uma Licitante participe em mais de uma proposta de preços, estas propostas de preços não serão levadas em consideração e serão rejeitadas pela Entidade de Licitação. </w:t>
      </w:r>
    </w:p>
    <w:p>
      <w:pPr>
        <w:pStyle w:val="83"/>
        <w:numPr>
          <w:ilvl w:val="2"/>
          <w:numId w:val="9"/>
        </w:numPr>
        <w:tabs>
          <w:tab w:val="left" w:pos="567"/>
          <w:tab w:val="clear" w:pos="1288"/>
        </w:tabs>
        <w:spacing w:after="60"/>
        <w:ind w:left="660" w:firstLine="0"/>
        <w:contextualSpacing w:val="0"/>
        <w:jc w:val="both"/>
        <w:rPr>
          <w:rFonts w:ascii="Book Antiqua" w:hAnsi="Book Antiqua"/>
          <w:sz w:val="22"/>
        </w:rPr>
      </w:pPr>
      <w:r>
        <w:rPr>
          <w:rFonts w:ascii="Book Antiqua" w:hAnsi="Book Antiqua" w:cs="Book Antiqua"/>
          <w:sz w:val="22"/>
          <w:szCs w:val="22"/>
        </w:rPr>
        <w:t>Para tais efeitos será sempre interpretado que fazem parte de um mesmo grupo econômico ou financeiro, as empresas que tenham diretores, acionistas (com participação em mais de 5%), ou representantes legais comuns, e aquelas que dependam ou subsidiem econômica ou financeiramente a outra empresa.</w:t>
      </w:r>
    </w:p>
    <w:p>
      <w:pPr>
        <w:pStyle w:val="83"/>
        <w:tabs>
          <w:tab w:val="left" w:pos="567"/>
        </w:tabs>
        <w:spacing w:after="60"/>
        <w:ind w:left="660"/>
        <w:contextualSpacing w:val="0"/>
        <w:jc w:val="both"/>
        <w:rPr>
          <w:rFonts w:ascii="Book Antiqua" w:hAnsi="Book Antiqua"/>
          <w:sz w:val="22"/>
        </w:rPr>
      </w:pPr>
    </w:p>
    <w:p>
      <w:pPr>
        <w:pStyle w:val="83"/>
        <w:widowControl w:val="0"/>
        <w:numPr>
          <w:ilvl w:val="0"/>
          <w:numId w:val="9"/>
        </w:numPr>
        <w:pBdr>
          <w:top w:val="single" w:color="auto" w:sz="4" w:space="1"/>
          <w:left w:val="single" w:color="auto" w:sz="4" w:space="4"/>
          <w:bottom w:val="single" w:color="auto" w:sz="4" w:space="1"/>
          <w:right w:val="single" w:color="auto" w:sz="4" w:space="4"/>
        </w:pBdr>
        <w:shd w:val="clear" w:color="auto" w:fill="D8D8D8" w:themeFill="background1" w:themeFillShade="D9"/>
        <w:tabs>
          <w:tab w:val="left" w:pos="-851"/>
          <w:tab w:val="left" w:pos="426"/>
          <w:tab w:val="clear" w:pos="480"/>
        </w:tabs>
        <w:spacing w:after="120"/>
        <w:ind w:left="0" w:firstLine="0"/>
        <w:contextualSpacing w:val="0"/>
        <w:jc w:val="both"/>
        <w:rPr>
          <w:rFonts w:ascii="Book Antiqua" w:hAnsi="Book Antiqua"/>
          <w:b/>
          <w:color w:val="0000FF"/>
          <w:sz w:val="22"/>
          <w:szCs w:val="22"/>
        </w:rPr>
      </w:pPr>
      <w:r>
        <w:rPr>
          <w:rFonts w:ascii="Book Antiqua" w:hAnsi="Book Antiqua"/>
          <w:b/>
          <w:color w:val="0000FF"/>
          <w:sz w:val="22"/>
          <w:szCs w:val="22"/>
        </w:rPr>
        <w:t>DAS CONDIÇÕES E PARTICIPAÇÃO DAS MICROEMPRESAS E DAS EMPRESAS DE PEQUENO PORTE E MICRO EMPREENDEDOR INDIVIDUAL</w:t>
      </w:r>
    </w:p>
    <w:p>
      <w:pPr>
        <w:pStyle w:val="83"/>
        <w:widowControl w:val="0"/>
        <w:numPr>
          <w:ilvl w:val="1"/>
          <w:numId w:val="9"/>
        </w:numPr>
        <w:tabs>
          <w:tab w:val="left" w:pos="-851"/>
          <w:tab w:val="left" w:pos="440"/>
          <w:tab w:val="clear" w:pos="720"/>
        </w:tabs>
        <w:spacing w:after="120"/>
        <w:ind w:left="0" w:firstLine="0"/>
        <w:contextualSpacing w:val="0"/>
        <w:jc w:val="both"/>
        <w:rPr>
          <w:rFonts w:ascii="Book Antiqua" w:hAnsi="Book Antiqua"/>
          <w:sz w:val="22"/>
          <w:szCs w:val="22"/>
        </w:rPr>
      </w:pPr>
      <w:r>
        <w:rPr>
          <w:rFonts w:ascii="Book Antiqua" w:hAnsi="Book Antiqua"/>
          <w:sz w:val="22"/>
          <w:szCs w:val="22"/>
        </w:rPr>
        <w:t>O enquadramento como microempresa - ME ou empresa de pequeno porte - EPP dar-se-á nas condições do Estatuto Nacional da Microempresa e Empresa de Pequeno Porte, instituído pela Lei Complementar nº 123/06 (versão atualizada).</w:t>
      </w:r>
    </w:p>
    <w:p>
      <w:pPr>
        <w:pStyle w:val="83"/>
        <w:widowControl w:val="0"/>
        <w:numPr>
          <w:ilvl w:val="1"/>
          <w:numId w:val="9"/>
        </w:numPr>
        <w:tabs>
          <w:tab w:val="left" w:pos="-851"/>
          <w:tab w:val="left" w:pos="440"/>
          <w:tab w:val="clear" w:pos="720"/>
        </w:tabs>
        <w:spacing w:after="120"/>
        <w:ind w:left="0" w:firstLine="0"/>
        <w:contextualSpacing w:val="0"/>
        <w:jc w:val="both"/>
        <w:rPr>
          <w:rFonts w:ascii="Book Antiqua" w:hAnsi="Book Antiqua"/>
          <w:sz w:val="22"/>
          <w:szCs w:val="22"/>
        </w:rPr>
      </w:pPr>
      <w:r>
        <w:rPr>
          <w:rFonts w:ascii="Book Antiqua" w:hAnsi="Book Antiqua"/>
          <w:sz w:val="22"/>
          <w:szCs w:val="22"/>
        </w:rPr>
        <w:t>No ato de envio de sua proposta, em campo próprio do sistema, a microempresa e a empresa de pequeno porte deverá declarar, sob as penas da Lei, que cumprem os requisitos estabelecidos no Art. 3º da Lei Complementar nº 123 (versão atualizada) que a Empresa está apta a usufruir do tratamento favorecido estabelecido nos artigos 42 ao 49 da referida Lei Complementar.</w:t>
      </w:r>
    </w:p>
    <w:p>
      <w:pPr>
        <w:pStyle w:val="83"/>
        <w:keepNext w:val="0"/>
        <w:keepLines w:val="0"/>
        <w:pageBreakBefore w:val="0"/>
        <w:widowControl w:val="0"/>
        <w:numPr>
          <w:ilvl w:val="2"/>
          <w:numId w:val="9"/>
        </w:numPr>
        <w:tabs>
          <w:tab w:val="left" w:pos="-851"/>
          <w:tab w:val="left" w:pos="440"/>
          <w:tab w:val="clear" w:pos="1288"/>
        </w:tabs>
        <w:kinsoku/>
        <w:wordWrap/>
        <w:overflowPunct/>
        <w:topLinePunct w:val="0"/>
        <w:autoSpaceDE/>
        <w:autoSpaceDN/>
        <w:bidi w:val="0"/>
        <w:adjustRightInd/>
        <w:snapToGrid/>
        <w:spacing w:after="80"/>
        <w:ind w:left="660" w:firstLine="32"/>
        <w:contextualSpacing w:val="0"/>
        <w:jc w:val="both"/>
        <w:textAlignment w:val="auto"/>
        <w:rPr>
          <w:rFonts w:ascii="Book Antiqua" w:hAnsi="Book Antiqua"/>
          <w:sz w:val="22"/>
          <w:szCs w:val="22"/>
        </w:rPr>
      </w:pPr>
      <w:r>
        <w:rPr>
          <w:rFonts w:ascii="Book Antiqua" w:hAnsi="Book Antiqua"/>
          <w:sz w:val="22"/>
          <w:szCs w:val="22"/>
        </w:rPr>
        <w:t>Relativamente aos artigos 3º, 42 e 43 da Lei Complementar n° 123, de 2006 (versão atualizada) que tratam do enquadramento e habilitação, além da verificação automática junto à Receita Federal do porte da empresa, a licitante deverá declarar que atende os requisitos do artigo 3° para fazer jus aos benefícios previstos.</w:t>
      </w:r>
    </w:p>
    <w:p>
      <w:pPr>
        <w:pStyle w:val="83"/>
        <w:keepNext w:val="0"/>
        <w:keepLines w:val="0"/>
        <w:pageBreakBefore w:val="0"/>
        <w:widowControl w:val="0"/>
        <w:numPr>
          <w:ilvl w:val="2"/>
          <w:numId w:val="9"/>
        </w:numPr>
        <w:tabs>
          <w:tab w:val="left" w:pos="-851"/>
          <w:tab w:val="left" w:pos="440"/>
          <w:tab w:val="clear" w:pos="1288"/>
        </w:tabs>
        <w:kinsoku/>
        <w:wordWrap/>
        <w:overflowPunct/>
        <w:topLinePunct w:val="0"/>
        <w:autoSpaceDE/>
        <w:autoSpaceDN/>
        <w:bidi w:val="0"/>
        <w:adjustRightInd/>
        <w:snapToGrid/>
        <w:spacing w:after="80"/>
        <w:ind w:left="660" w:firstLine="32"/>
        <w:contextualSpacing w:val="0"/>
        <w:jc w:val="both"/>
        <w:textAlignment w:val="auto"/>
        <w:rPr>
          <w:rFonts w:ascii="Book Antiqua" w:hAnsi="Book Antiqua"/>
          <w:sz w:val="22"/>
          <w:szCs w:val="22"/>
        </w:rPr>
      </w:pPr>
      <w:r>
        <w:rPr>
          <w:rFonts w:ascii="Book Antiqua" w:hAnsi="Book Antiqua"/>
          <w:sz w:val="22"/>
          <w:szCs w:val="22"/>
        </w:rPr>
        <w:t xml:space="preserve">O favorecimento estabelecido nos artigos 42 e 43 da Lei Complementar permite à licitante, entregar a documentação que contenha possível restrição, devidamente sanadas no prazo de 05 (cinco) dias úteis, prorrogáveis por mais cinco dias, quando for o caso, para efeito de assinatura de contrato. </w:t>
      </w:r>
    </w:p>
    <w:p>
      <w:pPr>
        <w:pStyle w:val="83"/>
        <w:keepNext w:val="0"/>
        <w:keepLines w:val="0"/>
        <w:pageBreakBefore w:val="0"/>
        <w:widowControl w:val="0"/>
        <w:numPr>
          <w:ilvl w:val="2"/>
          <w:numId w:val="9"/>
        </w:numPr>
        <w:tabs>
          <w:tab w:val="left" w:pos="-851"/>
          <w:tab w:val="left" w:pos="440"/>
          <w:tab w:val="clear" w:pos="1288"/>
        </w:tabs>
        <w:kinsoku/>
        <w:wordWrap/>
        <w:overflowPunct/>
        <w:topLinePunct w:val="0"/>
        <w:autoSpaceDE/>
        <w:autoSpaceDN/>
        <w:bidi w:val="0"/>
        <w:adjustRightInd/>
        <w:snapToGrid/>
        <w:spacing w:after="80"/>
        <w:ind w:left="660" w:firstLine="32"/>
        <w:contextualSpacing w:val="0"/>
        <w:jc w:val="both"/>
        <w:textAlignment w:val="auto"/>
        <w:rPr>
          <w:rFonts w:ascii="Book Antiqua" w:hAnsi="Book Antiqua"/>
          <w:sz w:val="22"/>
          <w:szCs w:val="22"/>
        </w:rPr>
      </w:pPr>
      <w:r>
        <w:rPr>
          <w:rFonts w:ascii="Book Antiqua" w:hAnsi="Book Antiqua"/>
          <w:sz w:val="22"/>
          <w:szCs w:val="22"/>
        </w:rPr>
        <w:t>Para os efeitos deste Edital, consideram-se microempresas ou empresas de pequeno porte a sociedade empresária, a sociedade simples e o empresário a que se refere o art. 966 da Lei no 10.406, de 10 de janeiro de 2002, devidamente registrados no Registro de Empresas Mercantis ou no Registro Civil de Pessoas Jurídicas, conforme o caso.</w:t>
      </w:r>
    </w:p>
    <w:p>
      <w:pPr>
        <w:pStyle w:val="83"/>
        <w:keepNext w:val="0"/>
        <w:keepLines w:val="0"/>
        <w:pageBreakBefore w:val="0"/>
        <w:widowControl w:val="0"/>
        <w:numPr>
          <w:ilvl w:val="1"/>
          <w:numId w:val="9"/>
        </w:numPr>
        <w:tabs>
          <w:tab w:val="left" w:pos="-851"/>
          <w:tab w:val="left" w:pos="440"/>
          <w:tab w:val="clear" w:pos="720"/>
        </w:tabs>
        <w:kinsoku/>
        <w:wordWrap/>
        <w:overflowPunct/>
        <w:topLinePunct w:val="0"/>
        <w:autoSpaceDE/>
        <w:autoSpaceDN/>
        <w:bidi w:val="0"/>
        <w:adjustRightInd/>
        <w:snapToGrid/>
        <w:spacing w:after="80"/>
        <w:ind w:left="0" w:firstLine="0"/>
        <w:contextualSpacing w:val="0"/>
        <w:jc w:val="both"/>
        <w:textAlignment w:val="auto"/>
        <w:rPr>
          <w:rFonts w:ascii="Book Antiqua" w:hAnsi="Book Antiqua"/>
          <w:sz w:val="22"/>
          <w:szCs w:val="22"/>
        </w:rPr>
      </w:pPr>
      <w:r>
        <w:rPr>
          <w:rFonts w:ascii="Book Antiqua" w:hAnsi="Book Antiqua"/>
          <w:sz w:val="22"/>
          <w:szCs w:val="22"/>
        </w:rPr>
        <w:t xml:space="preserve">Não fará jus ao regime diferenciado e favorecido previsto no art. 42 e seguintes da Lei Complementar nº. 123, de 14 de dezembro de 2006, a microempresa ou empresa de pequeno porte: </w:t>
      </w:r>
    </w:p>
    <w:p>
      <w:pPr>
        <w:pStyle w:val="83"/>
        <w:keepNext w:val="0"/>
        <w:keepLines w:val="0"/>
        <w:pageBreakBefore w:val="0"/>
        <w:widowControl w:val="0"/>
        <w:numPr>
          <w:ilvl w:val="2"/>
          <w:numId w:val="9"/>
        </w:numPr>
        <w:tabs>
          <w:tab w:val="left" w:pos="-851"/>
          <w:tab w:val="left" w:pos="440"/>
          <w:tab w:val="left" w:pos="1320"/>
          <w:tab w:val="clear" w:pos="1288"/>
        </w:tabs>
        <w:kinsoku/>
        <w:wordWrap/>
        <w:overflowPunct/>
        <w:topLinePunct w:val="0"/>
        <w:autoSpaceDE/>
        <w:autoSpaceDN/>
        <w:bidi w:val="0"/>
        <w:adjustRightInd/>
        <w:snapToGrid/>
        <w:spacing w:after="80"/>
        <w:ind w:left="660" w:firstLine="0"/>
        <w:contextualSpacing w:val="0"/>
        <w:jc w:val="both"/>
        <w:textAlignment w:val="auto"/>
        <w:rPr>
          <w:rFonts w:ascii="Book Antiqua" w:hAnsi="Book Antiqua"/>
          <w:sz w:val="22"/>
          <w:szCs w:val="22"/>
        </w:rPr>
      </w:pPr>
      <w:r>
        <w:rPr>
          <w:rFonts w:ascii="Book Antiqua" w:hAnsi="Book Antiqua"/>
          <w:sz w:val="22"/>
          <w:szCs w:val="22"/>
        </w:rPr>
        <w:t>De cujo capital participe outra pessoa jurídica;</w:t>
      </w:r>
    </w:p>
    <w:p>
      <w:pPr>
        <w:pStyle w:val="83"/>
        <w:keepNext w:val="0"/>
        <w:keepLines w:val="0"/>
        <w:pageBreakBefore w:val="0"/>
        <w:widowControl w:val="0"/>
        <w:numPr>
          <w:ilvl w:val="2"/>
          <w:numId w:val="9"/>
        </w:numPr>
        <w:tabs>
          <w:tab w:val="left" w:pos="-851"/>
          <w:tab w:val="left" w:pos="440"/>
          <w:tab w:val="left" w:pos="1320"/>
          <w:tab w:val="clear" w:pos="1288"/>
        </w:tabs>
        <w:kinsoku/>
        <w:wordWrap/>
        <w:overflowPunct/>
        <w:topLinePunct w:val="0"/>
        <w:autoSpaceDE/>
        <w:autoSpaceDN/>
        <w:bidi w:val="0"/>
        <w:adjustRightInd/>
        <w:snapToGrid/>
        <w:spacing w:after="80"/>
        <w:ind w:left="660" w:firstLine="0"/>
        <w:contextualSpacing w:val="0"/>
        <w:jc w:val="both"/>
        <w:textAlignment w:val="auto"/>
        <w:rPr>
          <w:rFonts w:ascii="Book Antiqua" w:hAnsi="Book Antiqua"/>
          <w:sz w:val="22"/>
          <w:szCs w:val="22"/>
        </w:rPr>
      </w:pPr>
      <w:r>
        <w:rPr>
          <w:rFonts w:ascii="Book Antiqua" w:hAnsi="Book Antiqua"/>
          <w:sz w:val="22"/>
          <w:szCs w:val="22"/>
        </w:rPr>
        <w:t xml:space="preserve">Que seja filial, sucursal, agência ou representação, no País, de pessoa jurídica com sede no exterior; </w:t>
      </w:r>
    </w:p>
    <w:p>
      <w:pPr>
        <w:pStyle w:val="83"/>
        <w:keepNext w:val="0"/>
        <w:keepLines w:val="0"/>
        <w:pageBreakBefore w:val="0"/>
        <w:widowControl w:val="0"/>
        <w:numPr>
          <w:ilvl w:val="2"/>
          <w:numId w:val="9"/>
        </w:numPr>
        <w:tabs>
          <w:tab w:val="left" w:pos="-851"/>
          <w:tab w:val="left" w:pos="440"/>
          <w:tab w:val="left" w:pos="1320"/>
          <w:tab w:val="clear" w:pos="1288"/>
        </w:tabs>
        <w:kinsoku/>
        <w:wordWrap/>
        <w:overflowPunct/>
        <w:topLinePunct w:val="0"/>
        <w:autoSpaceDE/>
        <w:autoSpaceDN/>
        <w:bidi w:val="0"/>
        <w:adjustRightInd/>
        <w:snapToGrid/>
        <w:spacing w:after="80"/>
        <w:ind w:left="660" w:firstLine="0"/>
        <w:contextualSpacing w:val="0"/>
        <w:jc w:val="both"/>
        <w:textAlignment w:val="auto"/>
        <w:rPr>
          <w:rFonts w:ascii="Book Antiqua" w:hAnsi="Book Antiqua"/>
          <w:sz w:val="22"/>
          <w:szCs w:val="22"/>
        </w:rPr>
      </w:pPr>
      <w:r>
        <w:rPr>
          <w:rFonts w:ascii="Book Antiqua" w:hAnsi="Book Antiqua"/>
          <w:sz w:val="22"/>
          <w:szCs w:val="22"/>
        </w:rPr>
        <w:t xml:space="preserve">De cujo capital participe pessoa física que seja inscrita como empresário, ou seja, sócia de outra empresa que receba tratamento jurídico diferenciado nos termos desta Lei Complementar, desde que a receita bruta global ultrapasse o limite de que trata o inciso II do caput do art.3º da Lei Complementar nº 123. De 14 de dezembro de 2006 (versão atualizada); </w:t>
      </w:r>
    </w:p>
    <w:p>
      <w:pPr>
        <w:pStyle w:val="83"/>
        <w:keepNext w:val="0"/>
        <w:keepLines w:val="0"/>
        <w:pageBreakBefore w:val="0"/>
        <w:widowControl w:val="0"/>
        <w:numPr>
          <w:ilvl w:val="2"/>
          <w:numId w:val="9"/>
        </w:numPr>
        <w:tabs>
          <w:tab w:val="left" w:pos="-851"/>
          <w:tab w:val="left" w:pos="440"/>
          <w:tab w:val="left" w:pos="1320"/>
          <w:tab w:val="clear" w:pos="1288"/>
        </w:tabs>
        <w:kinsoku/>
        <w:wordWrap/>
        <w:overflowPunct/>
        <w:topLinePunct w:val="0"/>
        <w:autoSpaceDE/>
        <w:autoSpaceDN/>
        <w:bidi w:val="0"/>
        <w:adjustRightInd/>
        <w:snapToGrid/>
        <w:spacing w:after="80"/>
        <w:ind w:left="660" w:firstLine="0"/>
        <w:contextualSpacing w:val="0"/>
        <w:jc w:val="both"/>
        <w:textAlignment w:val="auto"/>
        <w:rPr>
          <w:rFonts w:ascii="Book Antiqua" w:hAnsi="Book Antiqua"/>
          <w:sz w:val="22"/>
          <w:szCs w:val="22"/>
        </w:rPr>
      </w:pPr>
      <w:r>
        <w:rPr>
          <w:rFonts w:ascii="Book Antiqua" w:hAnsi="Book Antiqua"/>
          <w:sz w:val="22"/>
          <w:szCs w:val="22"/>
        </w:rPr>
        <w:t>Cujo titular ou sócio participe com mais de 10% (dez por cento) do capital de outra empresa não beneficiada por esta Lei Complementar, desde que a receita bruta global ultrapasse o limite de que trata o inciso II do caput do art.3º da Lei Complementar nº 123. De 14 de dezembro de 2006 (versão atualizada);</w:t>
      </w:r>
    </w:p>
    <w:p>
      <w:pPr>
        <w:pStyle w:val="83"/>
        <w:keepNext w:val="0"/>
        <w:keepLines w:val="0"/>
        <w:pageBreakBefore w:val="0"/>
        <w:widowControl w:val="0"/>
        <w:numPr>
          <w:ilvl w:val="2"/>
          <w:numId w:val="9"/>
        </w:numPr>
        <w:tabs>
          <w:tab w:val="left" w:pos="-851"/>
          <w:tab w:val="left" w:pos="440"/>
          <w:tab w:val="left" w:pos="1320"/>
          <w:tab w:val="clear" w:pos="1288"/>
        </w:tabs>
        <w:kinsoku/>
        <w:wordWrap/>
        <w:overflowPunct/>
        <w:topLinePunct w:val="0"/>
        <w:autoSpaceDE/>
        <w:autoSpaceDN/>
        <w:bidi w:val="0"/>
        <w:adjustRightInd/>
        <w:snapToGrid/>
        <w:spacing w:after="80"/>
        <w:ind w:left="660" w:firstLine="0"/>
        <w:contextualSpacing w:val="0"/>
        <w:jc w:val="both"/>
        <w:textAlignment w:val="auto"/>
        <w:rPr>
          <w:rFonts w:ascii="Book Antiqua" w:hAnsi="Book Antiqua"/>
          <w:sz w:val="22"/>
          <w:szCs w:val="22"/>
        </w:rPr>
      </w:pPr>
      <w:r>
        <w:rPr>
          <w:rFonts w:ascii="Book Antiqua" w:hAnsi="Book Antiqua"/>
          <w:sz w:val="22"/>
          <w:szCs w:val="22"/>
        </w:rPr>
        <w:t>Cujo sócio ou titular seja administrador ou equiparado de outra pessoa jurídica com fins lucrativos, desde que a receita bruta global ultrapasse o limite de que trata o inciso II do caput do art. 3º da Lei Complementar nº 123, de 14 de dezembro de 2006 (versão atualizada);</w:t>
      </w:r>
    </w:p>
    <w:p>
      <w:pPr>
        <w:pStyle w:val="83"/>
        <w:keepNext w:val="0"/>
        <w:keepLines w:val="0"/>
        <w:pageBreakBefore w:val="0"/>
        <w:widowControl w:val="0"/>
        <w:numPr>
          <w:ilvl w:val="2"/>
          <w:numId w:val="9"/>
        </w:numPr>
        <w:tabs>
          <w:tab w:val="left" w:pos="-851"/>
          <w:tab w:val="left" w:pos="440"/>
          <w:tab w:val="left" w:pos="1320"/>
          <w:tab w:val="clear" w:pos="1288"/>
        </w:tabs>
        <w:kinsoku/>
        <w:wordWrap/>
        <w:overflowPunct/>
        <w:topLinePunct w:val="0"/>
        <w:autoSpaceDE/>
        <w:autoSpaceDN/>
        <w:bidi w:val="0"/>
        <w:adjustRightInd/>
        <w:snapToGrid/>
        <w:spacing w:after="80"/>
        <w:ind w:left="660" w:firstLine="0"/>
        <w:contextualSpacing w:val="0"/>
        <w:jc w:val="both"/>
        <w:textAlignment w:val="auto"/>
        <w:rPr>
          <w:rFonts w:ascii="Book Antiqua" w:hAnsi="Book Antiqua"/>
          <w:sz w:val="22"/>
          <w:szCs w:val="22"/>
        </w:rPr>
      </w:pPr>
      <w:r>
        <w:rPr>
          <w:rFonts w:ascii="Book Antiqua" w:hAnsi="Book Antiqua"/>
          <w:sz w:val="22"/>
          <w:szCs w:val="22"/>
        </w:rPr>
        <w:t>Constituída sob a forma de cooperativas, salvo as de consumo;</w:t>
      </w:r>
    </w:p>
    <w:p>
      <w:pPr>
        <w:pStyle w:val="83"/>
        <w:keepNext w:val="0"/>
        <w:keepLines w:val="0"/>
        <w:pageBreakBefore w:val="0"/>
        <w:widowControl w:val="0"/>
        <w:numPr>
          <w:ilvl w:val="2"/>
          <w:numId w:val="9"/>
        </w:numPr>
        <w:tabs>
          <w:tab w:val="left" w:pos="-851"/>
          <w:tab w:val="left" w:pos="440"/>
          <w:tab w:val="left" w:pos="1320"/>
          <w:tab w:val="clear" w:pos="1288"/>
        </w:tabs>
        <w:kinsoku/>
        <w:wordWrap/>
        <w:overflowPunct/>
        <w:topLinePunct w:val="0"/>
        <w:autoSpaceDE/>
        <w:autoSpaceDN/>
        <w:bidi w:val="0"/>
        <w:adjustRightInd/>
        <w:snapToGrid/>
        <w:spacing w:after="80"/>
        <w:ind w:left="660" w:firstLine="0"/>
        <w:contextualSpacing w:val="0"/>
        <w:jc w:val="both"/>
        <w:textAlignment w:val="auto"/>
        <w:rPr>
          <w:rFonts w:ascii="Book Antiqua" w:hAnsi="Book Antiqua"/>
          <w:sz w:val="22"/>
          <w:szCs w:val="22"/>
        </w:rPr>
      </w:pPr>
      <w:r>
        <w:rPr>
          <w:rFonts w:ascii="Book Antiqua" w:hAnsi="Book Antiqua"/>
          <w:sz w:val="22"/>
          <w:szCs w:val="22"/>
        </w:rPr>
        <w:t>Que participe do capital de outra pessoa jurídica;</w:t>
      </w:r>
    </w:p>
    <w:p>
      <w:pPr>
        <w:pStyle w:val="83"/>
        <w:keepNext w:val="0"/>
        <w:keepLines w:val="0"/>
        <w:pageBreakBefore w:val="0"/>
        <w:widowControl w:val="0"/>
        <w:numPr>
          <w:ilvl w:val="2"/>
          <w:numId w:val="9"/>
        </w:numPr>
        <w:tabs>
          <w:tab w:val="left" w:pos="-851"/>
          <w:tab w:val="left" w:pos="440"/>
          <w:tab w:val="left" w:pos="1320"/>
          <w:tab w:val="clear" w:pos="1288"/>
        </w:tabs>
        <w:kinsoku/>
        <w:wordWrap/>
        <w:overflowPunct/>
        <w:topLinePunct w:val="0"/>
        <w:autoSpaceDE/>
        <w:autoSpaceDN/>
        <w:bidi w:val="0"/>
        <w:adjustRightInd/>
        <w:snapToGrid/>
        <w:spacing w:after="80"/>
        <w:ind w:left="660" w:firstLine="0"/>
        <w:contextualSpacing w:val="0"/>
        <w:jc w:val="both"/>
        <w:textAlignment w:val="auto"/>
        <w:rPr>
          <w:rFonts w:ascii="Book Antiqua" w:hAnsi="Book Antiqua"/>
          <w:sz w:val="22"/>
          <w:szCs w:val="22"/>
        </w:rPr>
      </w:pPr>
      <w:r>
        <w:rPr>
          <w:rFonts w:ascii="Book Antiqua" w:hAnsi="Book Antiqua"/>
          <w:sz w:val="22"/>
          <w:szCs w:val="22"/>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pPr>
        <w:pStyle w:val="83"/>
        <w:keepNext w:val="0"/>
        <w:keepLines w:val="0"/>
        <w:pageBreakBefore w:val="0"/>
        <w:widowControl w:val="0"/>
        <w:numPr>
          <w:ilvl w:val="2"/>
          <w:numId w:val="9"/>
        </w:numPr>
        <w:tabs>
          <w:tab w:val="left" w:pos="-851"/>
          <w:tab w:val="left" w:pos="440"/>
          <w:tab w:val="left" w:pos="1320"/>
          <w:tab w:val="clear" w:pos="1288"/>
        </w:tabs>
        <w:kinsoku/>
        <w:wordWrap/>
        <w:overflowPunct/>
        <w:topLinePunct w:val="0"/>
        <w:autoSpaceDE/>
        <w:autoSpaceDN/>
        <w:bidi w:val="0"/>
        <w:adjustRightInd/>
        <w:snapToGrid/>
        <w:spacing w:after="80"/>
        <w:ind w:left="660" w:firstLine="0"/>
        <w:contextualSpacing w:val="0"/>
        <w:jc w:val="both"/>
        <w:textAlignment w:val="auto"/>
        <w:rPr>
          <w:rFonts w:ascii="Book Antiqua" w:hAnsi="Book Antiqua"/>
          <w:sz w:val="22"/>
          <w:szCs w:val="22"/>
        </w:rPr>
      </w:pPr>
      <w:r>
        <w:rPr>
          <w:rFonts w:ascii="Book Antiqua" w:hAnsi="Book Antiqua"/>
          <w:sz w:val="22"/>
          <w:szCs w:val="22"/>
        </w:rPr>
        <w:t>Resultante ou remanescente de cisão ou qualquer outra forma de desmembramento de pessoa jurídica que tenha ocorrido em um dos 05 (cinco) anos-calendário, anteriores;</w:t>
      </w:r>
    </w:p>
    <w:p>
      <w:pPr>
        <w:pStyle w:val="83"/>
        <w:keepNext w:val="0"/>
        <w:keepLines w:val="0"/>
        <w:pageBreakBefore w:val="0"/>
        <w:widowControl w:val="0"/>
        <w:numPr>
          <w:ilvl w:val="2"/>
          <w:numId w:val="9"/>
        </w:numPr>
        <w:tabs>
          <w:tab w:val="left" w:pos="-851"/>
          <w:tab w:val="left" w:pos="440"/>
          <w:tab w:val="left" w:pos="1320"/>
          <w:tab w:val="clear" w:pos="1288"/>
        </w:tabs>
        <w:kinsoku/>
        <w:wordWrap/>
        <w:overflowPunct/>
        <w:topLinePunct w:val="0"/>
        <w:autoSpaceDE/>
        <w:autoSpaceDN/>
        <w:bidi w:val="0"/>
        <w:adjustRightInd/>
        <w:snapToGrid/>
        <w:spacing w:after="80"/>
        <w:ind w:left="660" w:firstLine="0"/>
        <w:contextualSpacing w:val="0"/>
        <w:jc w:val="both"/>
        <w:textAlignment w:val="auto"/>
        <w:rPr>
          <w:rFonts w:ascii="Book Antiqua" w:hAnsi="Book Antiqua"/>
          <w:sz w:val="22"/>
          <w:szCs w:val="22"/>
        </w:rPr>
      </w:pPr>
      <w:r>
        <w:rPr>
          <w:rFonts w:ascii="Book Antiqua" w:hAnsi="Book Antiqua"/>
          <w:sz w:val="22"/>
          <w:szCs w:val="22"/>
        </w:rPr>
        <w:t>Constituída sob a forma de sociedade por ações.</w:t>
      </w:r>
    </w:p>
    <w:p>
      <w:pPr>
        <w:pStyle w:val="83"/>
        <w:keepNext w:val="0"/>
        <w:keepLines w:val="0"/>
        <w:pageBreakBefore w:val="0"/>
        <w:widowControl w:val="0"/>
        <w:numPr>
          <w:ilvl w:val="1"/>
          <w:numId w:val="9"/>
        </w:numPr>
        <w:tabs>
          <w:tab w:val="left" w:pos="-851"/>
          <w:tab w:val="left" w:pos="440"/>
          <w:tab w:val="left" w:pos="1320"/>
          <w:tab w:val="clear" w:pos="720"/>
        </w:tabs>
        <w:kinsoku/>
        <w:wordWrap/>
        <w:overflowPunct/>
        <w:topLinePunct w:val="0"/>
        <w:autoSpaceDE/>
        <w:autoSpaceDN/>
        <w:bidi w:val="0"/>
        <w:adjustRightInd/>
        <w:snapToGrid/>
        <w:spacing w:after="80"/>
        <w:ind w:left="0" w:firstLine="0"/>
        <w:contextualSpacing w:val="0"/>
        <w:jc w:val="both"/>
        <w:textAlignment w:val="auto"/>
        <w:rPr>
          <w:rFonts w:ascii="Book Antiqua" w:hAnsi="Book Antiqua"/>
          <w:sz w:val="22"/>
          <w:szCs w:val="22"/>
        </w:rPr>
      </w:pPr>
      <w:r>
        <w:rPr>
          <w:rFonts w:ascii="Book Antiqua" w:hAnsi="Book Antiqua"/>
          <w:sz w:val="22"/>
          <w:szCs w:val="22"/>
        </w:rPr>
        <w:t>O Sistema verificará automaticamente junto à Receita Federal o porte da Empresa que atende os requisitos do artigo 3º da Lei Complementar nº 123/2006 (versão atualizada).</w:t>
      </w:r>
    </w:p>
    <w:p>
      <w:pPr>
        <w:pStyle w:val="83"/>
        <w:keepNext w:val="0"/>
        <w:keepLines w:val="0"/>
        <w:pageBreakBefore w:val="0"/>
        <w:widowControl w:val="0"/>
        <w:numPr>
          <w:ilvl w:val="1"/>
          <w:numId w:val="9"/>
        </w:numPr>
        <w:tabs>
          <w:tab w:val="left" w:pos="-851"/>
          <w:tab w:val="left" w:pos="440"/>
          <w:tab w:val="left" w:pos="1320"/>
          <w:tab w:val="clear" w:pos="720"/>
        </w:tabs>
        <w:kinsoku/>
        <w:wordWrap/>
        <w:overflowPunct/>
        <w:topLinePunct w:val="0"/>
        <w:autoSpaceDE/>
        <w:autoSpaceDN/>
        <w:bidi w:val="0"/>
        <w:adjustRightInd/>
        <w:snapToGrid/>
        <w:spacing w:after="80"/>
        <w:ind w:left="0" w:firstLine="0"/>
        <w:contextualSpacing w:val="0"/>
        <w:jc w:val="both"/>
        <w:textAlignment w:val="auto"/>
        <w:rPr>
          <w:rFonts w:ascii="Book Antiqua" w:hAnsi="Book Antiqua"/>
          <w:sz w:val="22"/>
          <w:szCs w:val="22"/>
        </w:rPr>
      </w:pPr>
      <w:r>
        <w:rPr>
          <w:rFonts w:ascii="Book Antiqua" w:hAnsi="Book Antiqua"/>
          <w:sz w:val="22"/>
          <w:szCs w:val="22"/>
        </w:rPr>
        <w:t>A optante pelo simples nacional está vedada a utilização dos benefícios do Regime Tributário Diferenciado, conforme o Artigo 17, Inciso XII, e Artigo 30, inciso II da Lei Complementar nº 123 de 2006, em atendimento ao entendimento esposado pelo TCU no Acórdão 797/2011 (Plenário).</w:t>
      </w:r>
    </w:p>
    <w:p>
      <w:pPr>
        <w:pStyle w:val="29"/>
        <w:numPr>
          <w:ilvl w:val="0"/>
          <w:numId w:val="9"/>
        </w:numPr>
        <w:pBdr>
          <w:top w:val="single" w:color="auto" w:sz="4" w:space="1"/>
          <w:left w:val="single" w:color="auto" w:sz="4" w:space="4"/>
          <w:bottom w:val="single" w:color="auto" w:sz="4" w:space="1"/>
          <w:right w:val="single" w:color="auto" w:sz="4" w:space="4"/>
        </w:pBdr>
        <w:shd w:val="clear" w:color="auto" w:fill="D9D9D9"/>
        <w:spacing w:before="0" w:after="120"/>
        <w:ind w:left="0" w:firstLine="0"/>
        <w:jc w:val="both"/>
        <w:rPr>
          <w:rFonts w:ascii="Book Antiqua" w:hAnsi="Book Antiqua"/>
          <w:b/>
          <w:bCs/>
          <w:color w:val="0000FF"/>
          <w:sz w:val="22"/>
        </w:rPr>
      </w:pPr>
      <w:r>
        <w:rPr>
          <w:rFonts w:ascii="Book Antiqua" w:hAnsi="Book Antiqua"/>
          <w:b/>
          <w:bCs/>
          <w:color w:val="0000FF"/>
          <w:sz w:val="22"/>
        </w:rPr>
        <w:t>DO CRITÉRIO DE JULGAMENTO DA PROPOSTA DE PREÇOS;</w:t>
      </w:r>
    </w:p>
    <w:p>
      <w:pPr>
        <w:numPr>
          <w:ilvl w:val="1"/>
          <w:numId w:val="9"/>
        </w:numPr>
        <w:tabs>
          <w:tab w:val="left" w:pos="0"/>
          <w:tab w:val="clear" w:pos="720"/>
        </w:tabs>
        <w:ind w:left="0" w:firstLine="0"/>
        <w:jc w:val="both"/>
        <w:rPr>
          <w:rFonts w:ascii="Book Antiqua" w:hAnsi="Book Antiqua" w:cs="Book Antiqua"/>
        </w:rPr>
      </w:pPr>
      <w:r>
        <w:rPr>
          <w:rFonts w:ascii="Book Antiqua" w:hAnsi="Book Antiqua" w:eastAsia="TimesNewRomanPSMT" w:cs="Book Antiqua"/>
          <w:color w:val="000000"/>
          <w:lang w:val="en-US" w:eastAsia="zh-CN" w:bidi="ar"/>
        </w:rPr>
        <w:t xml:space="preserve">O julgamento da Proposta de Preços dar-se-á pelo critério de </w:t>
      </w:r>
      <w:r>
        <w:rPr>
          <w:rFonts w:ascii="Book Antiqua" w:hAnsi="Book Antiqua" w:eastAsia="TimesNewRomanPS-BoldMT" w:cs="Book Antiqua"/>
          <w:b/>
          <w:bCs/>
          <w:color w:val="000000"/>
          <w:lang w:val="en-US" w:eastAsia="zh-CN" w:bidi="ar"/>
        </w:rPr>
        <w:t xml:space="preserve">MENOR PREÇO </w:t>
      </w:r>
      <w:r>
        <w:rPr>
          <w:rFonts w:ascii="Book Antiqua" w:hAnsi="Book Antiqua" w:eastAsia="TimesNewRomanPS-BoldMT" w:cs="Book Antiqua"/>
          <w:color w:val="000000"/>
          <w:lang w:val="en-US" w:eastAsia="zh-CN" w:bidi="ar"/>
        </w:rPr>
        <w:t>adjudicação</w:t>
      </w:r>
      <w:r>
        <w:rPr>
          <w:rFonts w:ascii="Book Antiqua" w:hAnsi="Book Antiqua" w:eastAsia="TimesNewRomanPS-BoldMT" w:cs="Book Antiqua"/>
          <w:b/>
          <w:bCs/>
          <w:color w:val="000000"/>
          <w:lang w:val="en-US" w:eastAsia="zh-CN" w:bidi="ar"/>
        </w:rPr>
        <w:t xml:space="preserve"> </w:t>
      </w:r>
      <w:r>
        <w:rPr>
          <w:rFonts w:hint="default" w:ascii="Book Antiqua" w:hAnsi="Book Antiqua" w:eastAsia="TimesNewRomanPS-BoldMT" w:cs="Book Antiqua"/>
          <w:b/>
          <w:bCs/>
          <w:color w:val="000000"/>
          <w:lang w:val="pt-BR" w:eastAsia="zh-CN" w:bidi="ar"/>
        </w:rPr>
        <w:t>POR ITEM</w:t>
      </w:r>
      <w:r>
        <w:rPr>
          <w:rFonts w:ascii="Book Antiqua" w:hAnsi="Book Antiqua" w:eastAsia="TimesNewRomanPS-BoldMT" w:cs="Book Antiqua"/>
          <w:b/>
          <w:bCs/>
          <w:color w:val="000000" w:themeColor="text1"/>
          <w:lang w:val="en-US" w:eastAsia="zh-CN" w:bidi="ar"/>
        </w:rPr>
        <w:t>,</w:t>
      </w:r>
      <w:r>
        <w:rPr>
          <w:rFonts w:ascii="Book Antiqua" w:hAnsi="Book Antiqua" w:eastAsia="TimesNewRomanPS-BoldMT" w:cs="Book Antiqua"/>
          <w:b/>
          <w:bCs/>
          <w:color w:val="FF0000"/>
          <w:lang w:val="en-US" w:eastAsia="zh-CN" w:bidi="ar"/>
        </w:rPr>
        <w:t xml:space="preserve"> </w:t>
      </w:r>
      <w:r>
        <w:rPr>
          <w:rFonts w:ascii="Book Antiqua" w:hAnsi="Book Antiqua" w:eastAsia="TimesNewRomanPSMT" w:cs="Book Antiqua"/>
          <w:color w:val="000000"/>
          <w:lang w:val="en-US" w:eastAsia="zh-CN" w:bidi="ar"/>
        </w:rPr>
        <w:t>observadas as especificações técnicas e os parâmetros mínimos de desempenho definidos no Edital</w:t>
      </w:r>
      <w:r>
        <w:rPr>
          <w:rFonts w:hint="default" w:ascii="Book Antiqua" w:hAnsi="Book Antiqua" w:eastAsia="TimesNewRomanPSMT" w:cs="Book Antiqua"/>
          <w:color w:val="000000"/>
          <w:lang w:val="pt-BR" w:eastAsia="zh-CN" w:bidi="ar"/>
        </w:rPr>
        <w:t xml:space="preserve"> e seus anexos</w:t>
      </w:r>
      <w:r>
        <w:rPr>
          <w:rFonts w:ascii="Book Antiqua" w:hAnsi="Book Antiqua" w:eastAsia="TimesNewRomanPSMT" w:cs="Book Antiqua"/>
          <w:color w:val="000000"/>
          <w:lang w:val="en-US" w:eastAsia="zh-CN" w:bidi="ar"/>
        </w:rPr>
        <w:t xml:space="preserve">. </w:t>
      </w:r>
    </w:p>
    <w:p>
      <w:pPr>
        <w:tabs>
          <w:tab w:val="left" w:pos="0"/>
        </w:tabs>
        <w:jc w:val="both"/>
        <w:rPr>
          <w:rFonts w:ascii="Book Antiqua" w:hAnsi="Book Antiqua" w:cs="Book Antiqua"/>
        </w:rPr>
      </w:pPr>
    </w:p>
    <w:p>
      <w:pPr>
        <w:pStyle w:val="29"/>
        <w:numPr>
          <w:ilvl w:val="0"/>
          <w:numId w:val="9"/>
        </w:numPr>
        <w:pBdr>
          <w:top w:val="single" w:color="auto" w:sz="4" w:space="1"/>
          <w:left w:val="single" w:color="auto" w:sz="4" w:space="4"/>
          <w:bottom w:val="single" w:color="auto" w:sz="4" w:space="1"/>
          <w:right w:val="single" w:color="auto" w:sz="4" w:space="4"/>
        </w:pBdr>
        <w:shd w:val="clear" w:color="auto" w:fill="D9D9D9"/>
        <w:spacing w:before="0" w:after="120"/>
        <w:ind w:left="0" w:firstLine="0"/>
        <w:jc w:val="both"/>
        <w:rPr>
          <w:rFonts w:ascii="Book Antiqua" w:hAnsi="Book Antiqua"/>
          <w:b/>
          <w:bCs/>
          <w:color w:val="0000FF"/>
          <w:sz w:val="22"/>
        </w:rPr>
      </w:pPr>
      <w:r>
        <w:rPr>
          <w:rFonts w:ascii="Book Antiqua" w:hAnsi="Book Antiqua"/>
          <w:b/>
          <w:bCs/>
          <w:color w:val="0000FF"/>
          <w:sz w:val="22"/>
        </w:rPr>
        <w:t>DO ENVIO (anexo) DA PROPOSTA DE PREÇOS E DOS DOCUMENTOS DE HABILITAÇÃO NO SISTEMA ELETRÔNICO;</w:t>
      </w:r>
    </w:p>
    <w:p>
      <w:pPr>
        <w:pStyle w:val="22"/>
        <w:numPr>
          <w:ilvl w:val="1"/>
          <w:numId w:val="9"/>
        </w:numPr>
        <w:tabs>
          <w:tab w:val="left" w:pos="440"/>
          <w:tab w:val="clear" w:pos="720"/>
        </w:tabs>
        <w:spacing w:after="120"/>
        <w:ind w:left="0" w:firstLine="0"/>
        <w:rPr>
          <w:rFonts w:ascii="Book Antiqua" w:hAnsi="Book Antiqua" w:cs="Book Antiqua"/>
          <w:sz w:val="22"/>
        </w:rPr>
      </w:pPr>
      <w:r>
        <w:rPr>
          <w:rFonts w:ascii="Book Antiqua" w:hAnsi="Book Antiqua" w:cs="Book Antiqua"/>
          <w:sz w:val="22"/>
        </w:rPr>
        <w:t>Após</w:t>
      </w:r>
      <w:r>
        <w:rPr>
          <w:rFonts w:ascii="Book Antiqua" w:hAnsi="Book Antiqua" w:cs="Book Antiqua"/>
          <w:color w:val="000000"/>
          <w:sz w:val="22"/>
        </w:rPr>
        <w:t xml:space="preserve"> a divulgação </w:t>
      </w:r>
      <w:r>
        <w:rPr>
          <w:rFonts w:ascii="Book Antiqua" w:hAnsi="Book Antiqua" w:cs="Book Antiqua"/>
          <w:color w:val="000000" w:themeColor="text1"/>
          <w:sz w:val="22"/>
        </w:rPr>
        <w:t xml:space="preserve">do Edital no endereço eletrônico: </w:t>
      </w:r>
      <w:r>
        <w:fldChar w:fldCharType="begin"/>
      </w:r>
      <w:r>
        <w:instrText xml:space="preserve"> HYPERLINK "http://www.comprasnet.gov.br" </w:instrText>
      </w:r>
      <w:r>
        <w:fldChar w:fldCharType="separate"/>
      </w:r>
      <w:r>
        <w:rPr>
          <w:rStyle w:val="19"/>
          <w:rFonts w:ascii="Book Antiqua" w:hAnsi="Book Antiqua" w:cs="Book Antiqua"/>
          <w:b/>
          <w:bCs/>
          <w:sz w:val="22"/>
        </w:rPr>
        <w:t>www.gov.br</w:t>
      </w:r>
      <w:r>
        <w:rPr>
          <w:rStyle w:val="19"/>
          <w:rFonts w:ascii="Book Antiqua" w:hAnsi="Book Antiqua" w:cs="Book Antiqua"/>
          <w:b/>
          <w:bCs/>
          <w:sz w:val="22"/>
        </w:rPr>
        <w:fldChar w:fldCharType="end"/>
      </w:r>
      <w:r>
        <w:rPr>
          <w:rStyle w:val="19"/>
          <w:rFonts w:ascii="Book Antiqua" w:hAnsi="Book Antiqua" w:cs="Book Antiqua"/>
          <w:b/>
          <w:bCs/>
          <w:sz w:val="22"/>
        </w:rPr>
        <w:t>/compras</w:t>
      </w:r>
      <w:r>
        <w:rPr>
          <w:rStyle w:val="19"/>
          <w:rFonts w:ascii="Book Antiqua" w:hAnsi="Book Antiqua" w:cs="Book Antiqua"/>
          <w:b/>
          <w:bCs/>
          <w:color w:val="000000" w:themeColor="text1"/>
          <w:sz w:val="22"/>
        </w:rPr>
        <w:t>,</w:t>
      </w:r>
      <w:r>
        <w:rPr>
          <w:rFonts w:ascii="Book Antiqua" w:hAnsi="Book Antiqua" w:cs="Book Antiqua"/>
          <w:sz w:val="22"/>
        </w:rPr>
        <w:t xml:space="preserve"> o Licitante deverá anexar o </w:t>
      </w:r>
      <w:r>
        <w:rPr>
          <w:rFonts w:ascii="Book Antiqua" w:hAnsi="Book Antiqua" w:cs="Book Antiqua"/>
          <w:b/>
          <w:bCs/>
          <w:sz w:val="22"/>
        </w:rPr>
        <w:t>Formulário de Proposta e os Documentos de Habilitação</w:t>
      </w:r>
      <w:r>
        <w:rPr>
          <w:rFonts w:ascii="Book Antiqua" w:hAnsi="Book Antiqua" w:cs="Book Antiqua"/>
          <w:sz w:val="22"/>
        </w:rPr>
        <w:t xml:space="preserve">, em conformidade com as exigências do Edital, nos termo do artigo 26, Decreto Federal nº 10.024/2019. </w:t>
      </w:r>
      <w:r>
        <w:rPr>
          <w:rFonts w:ascii="Book Antiqua" w:hAnsi="Book Antiqua" w:cs="Book Antiqua"/>
          <w:sz w:val="22"/>
          <w:highlight w:val="yellow"/>
          <w:u w:val="single"/>
        </w:rPr>
        <w:t>A não inserção desses documentos enseja na desclassificação da proponente.</w:t>
      </w:r>
    </w:p>
    <w:p>
      <w:pPr>
        <w:pStyle w:val="22"/>
        <w:keepNext w:val="0"/>
        <w:keepLines w:val="0"/>
        <w:pageBreakBefore w:val="0"/>
        <w:numPr>
          <w:ilvl w:val="1"/>
          <w:numId w:val="9"/>
        </w:numPr>
        <w:tabs>
          <w:tab w:val="left" w:pos="440"/>
          <w:tab w:val="clear" w:pos="720"/>
        </w:tabs>
        <w:kinsoku/>
        <w:wordWrap/>
        <w:overflowPunct/>
        <w:topLinePunct w:val="0"/>
        <w:autoSpaceDE/>
        <w:autoSpaceDN/>
        <w:bidi w:val="0"/>
        <w:adjustRightInd/>
        <w:snapToGrid/>
        <w:spacing w:after="60"/>
        <w:textAlignment w:val="auto"/>
        <w:rPr>
          <w:rFonts w:ascii="Book Antiqua" w:hAnsi="Book Antiqua" w:cs="Book Antiqua"/>
          <w:sz w:val="22"/>
        </w:rPr>
      </w:pPr>
      <w:r>
        <w:rPr>
          <w:rFonts w:ascii="Book Antiqua" w:hAnsi="Book Antiqua" w:cs="Book Antiqua"/>
          <w:b/>
          <w:bCs/>
          <w:color w:val="000000" w:themeColor="text1"/>
          <w:sz w:val="22"/>
        </w:rPr>
        <w:t>As Licitantes deverão ANEXAR suas propostas de preços no sistema eletrônico, contendo:</w:t>
      </w:r>
    </w:p>
    <w:p>
      <w:pPr>
        <w:pStyle w:val="29"/>
        <w:keepNext w:val="0"/>
        <w:keepLines w:val="0"/>
        <w:pageBreakBefore w:val="0"/>
        <w:widowControl w:val="0"/>
        <w:numPr>
          <w:ilvl w:val="0"/>
          <w:numId w:val="11"/>
        </w:numPr>
        <w:kinsoku/>
        <w:wordWrap/>
        <w:overflowPunct/>
        <w:topLinePunct w:val="0"/>
        <w:autoSpaceDE/>
        <w:autoSpaceDN/>
        <w:bidi w:val="0"/>
        <w:adjustRightInd/>
        <w:snapToGrid/>
        <w:spacing w:before="0" w:after="60"/>
        <w:ind w:left="726" w:hanging="363"/>
        <w:jc w:val="both"/>
        <w:textAlignment w:val="auto"/>
        <w:rPr>
          <w:rFonts w:ascii="Book Antiqua" w:hAnsi="Book Antiqua" w:cs="Book Antiqua"/>
          <w:sz w:val="22"/>
        </w:rPr>
      </w:pPr>
      <w:r>
        <w:rPr>
          <w:rFonts w:ascii="Book Antiqua" w:hAnsi="Book Antiqua" w:cs="Book Antiqua"/>
          <w:sz w:val="22"/>
        </w:rPr>
        <w:t>Número do item;</w:t>
      </w:r>
    </w:p>
    <w:p>
      <w:pPr>
        <w:pStyle w:val="29"/>
        <w:keepNext w:val="0"/>
        <w:keepLines w:val="0"/>
        <w:pageBreakBefore w:val="0"/>
        <w:widowControl w:val="0"/>
        <w:numPr>
          <w:ilvl w:val="0"/>
          <w:numId w:val="11"/>
        </w:numPr>
        <w:kinsoku/>
        <w:wordWrap/>
        <w:overflowPunct/>
        <w:topLinePunct w:val="0"/>
        <w:autoSpaceDE/>
        <w:autoSpaceDN/>
        <w:bidi w:val="0"/>
        <w:adjustRightInd/>
        <w:snapToGrid/>
        <w:spacing w:before="0" w:after="60"/>
        <w:ind w:left="726" w:hanging="363"/>
        <w:jc w:val="both"/>
        <w:textAlignment w:val="auto"/>
        <w:rPr>
          <w:rFonts w:ascii="Book Antiqua" w:hAnsi="Book Antiqua" w:cs="Book Antiqua"/>
          <w:sz w:val="22"/>
        </w:rPr>
      </w:pPr>
      <w:r>
        <w:rPr>
          <w:rFonts w:ascii="Book Antiqua" w:hAnsi="Book Antiqua" w:cs="Book Antiqua"/>
          <w:sz w:val="22"/>
        </w:rPr>
        <w:t>Quantidade;</w:t>
      </w:r>
    </w:p>
    <w:p>
      <w:pPr>
        <w:pStyle w:val="29"/>
        <w:keepNext w:val="0"/>
        <w:keepLines w:val="0"/>
        <w:pageBreakBefore w:val="0"/>
        <w:widowControl w:val="0"/>
        <w:numPr>
          <w:ilvl w:val="0"/>
          <w:numId w:val="11"/>
        </w:numPr>
        <w:kinsoku/>
        <w:wordWrap/>
        <w:overflowPunct/>
        <w:topLinePunct w:val="0"/>
        <w:autoSpaceDE/>
        <w:autoSpaceDN/>
        <w:bidi w:val="0"/>
        <w:adjustRightInd/>
        <w:snapToGrid/>
        <w:spacing w:before="0" w:after="60"/>
        <w:ind w:left="726" w:hanging="363"/>
        <w:jc w:val="both"/>
        <w:textAlignment w:val="auto"/>
        <w:rPr>
          <w:rFonts w:ascii="Book Antiqua" w:hAnsi="Book Antiqua" w:cs="Book Antiqua"/>
          <w:sz w:val="22"/>
        </w:rPr>
      </w:pPr>
      <w:r>
        <w:rPr>
          <w:rFonts w:ascii="Book Antiqua" w:hAnsi="Book Antiqua" w:cs="Book Antiqua"/>
          <w:sz w:val="22"/>
        </w:rPr>
        <w:t>Unidade;</w:t>
      </w:r>
    </w:p>
    <w:p>
      <w:pPr>
        <w:pStyle w:val="29"/>
        <w:keepNext w:val="0"/>
        <w:keepLines w:val="0"/>
        <w:pageBreakBefore w:val="0"/>
        <w:widowControl w:val="0"/>
        <w:numPr>
          <w:ilvl w:val="0"/>
          <w:numId w:val="11"/>
        </w:numPr>
        <w:kinsoku/>
        <w:wordWrap/>
        <w:overflowPunct/>
        <w:topLinePunct w:val="0"/>
        <w:autoSpaceDE/>
        <w:autoSpaceDN/>
        <w:bidi w:val="0"/>
        <w:adjustRightInd/>
        <w:snapToGrid/>
        <w:spacing w:before="0" w:after="60"/>
        <w:ind w:left="726" w:hanging="363"/>
        <w:jc w:val="both"/>
        <w:textAlignment w:val="auto"/>
        <w:rPr>
          <w:rFonts w:ascii="Book Antiqua" w:hAnsi="Book Antiqua" w:cs="Book Antiqua"/>
          <w:sz w:val="22"/>
        </w:rPr>
      </w:pPr>
      <w:r>
        <w:rPr>
          <w:rFonts w:ascii="Book Antiqua" w:hAnsi="Book Antiqua" w:cs="Book Antiqua"/>
          <w:bCs/>
          <w:iCs/>
          <w:sz w:val="22"/>
        </w:rPr>
        <w:t>Descrição detalhada do Objeto, contendo as informações similares à especificação do Termo de Referência, anexo I do Edital;</w:t>
      </w:r>
    </w:p>
    <w:p>
      <w:pPr>
        <w:pStyle w:val="29"/>
        <w:keepNext w:val="0"/>
        <w:keepLines w:val="0"/>
        <w:pageBreakBefore w:val="0"/>
        <w:widowControl w:val="0"/>
        <w:numPr>
          <w:ilvl w:val="0"/>
          <w:numId w:val="11"/>
        </w:numPr>
        <w:kinsoku/>
        <w:wordWrap/>
        <w:overflowPunct/>
        <w:topLinePunct w:val="0"/>
        <w:autoSpaceDE/>
        <w:autoSpaceDN/>
        <w:bidi w:val="0"/>
        <w:adjustRightInd/>
        <w:snapToGrid/>
        <w:spacing w:before="0" w:after="60"/>
        <w:ind w:left="726" w:hanging="363"/>
        <w:jc w:val="both"/>
        <w:textAlignment w:val="auto"/>
        <w:rPr>
          <w:rFonts w:ascii="Book Antiqua" w:hAnsi="Book Antiqua" w:cs="Book Antiqua"/>
          <w:sz w:val="22"/>
        </w:rPr>
      </w:pPr>
      <w:r>
        <w:rPr>
          <w:rFonts w:ascii="Book Antiqua" w:hAnsi="Book Antiqua" w:cs="Book Antiqua"/>
          <w:bCs/>
          <w:color w:val="000000"/>
          <w:sz w:val="22"/>
        </w:rPr>
        <w:t>Valor Unitário</w:t>
      </w:r>
    </w:p>
    <w:p>
      <w:pPr>
        <w:pStyle w:val="29"/>
        <w:keepNext w:val="0"/>
        <w:keepLines w:val="0"/>
        <w:pageBreakBefore w:val="0"/>
        <w:widowControl w:val="0"/>
        <w:numPr>
          <w:ilvl w:val="0"/>
          <w:numId w:val="11"/>
        </w:numPr>
        <w:kinsoku/>
        <w:wordWrap/>
        <w:overflowPunct/>
        <w:topLinePunct w:val="0"/>
        <w:autoSpaceDE/>
        <w:autoSpaceDN/>
        <w:bidi w:val="0"/>
        <w:adjustRightInd/>
        <w:snapToGrid/>
        <w:spacing w:before="0" w:after="60"/>
        <w:ind w:left="726" w:hanging="363"/>
        <w:jc w:val="both"/>
        <w:textAlignment w:val="auto"/>
        <w:rPr>
          <w:rFonts w:ascii="Book Antiqua" w:hAnsi="Book Antiqua" w:cs="Book Antiqua"/>
        </w:rPr>
      </w:pPr>
      <w:r>
        <w:rPr>
          <w:rFonts w:ascii="Book Antiqua" w:hAnsi="Book Antiqua" w:cs="Book Antiqua"/>
          <w:bCs/>
          <w:sz w:val="22"/>
        </w:rPr>
        <w:t>Valor total da Proposta de Preços em R$............</w:t>
      </w:r>
    </w:p>
    <w:p>
      <w:pPr>
        <w:pStyle w:val="29"/>
        <w:widowControl w:val="0"/>
        <w:numPr>
          <w:ilvl w:val="1"/>
          <w:numId w:val="9"/>
        </w:numPr>
        <w:tabs>
          <w:tab w:val="left" w:pos="220"/>
          <w:tab w:val="clear" w:pos="720"/>
        </w:tabs>
        <w:spacing w:before="0" w:after="120"/>
        <w:ind w:left="0" w:firstLine="0"/>
        <w:jc w:val="both"/>
        <w:rPr>
          <w:rFonts w:ascii="Book Antiqua" w:hAnsi="Book Antiqua" w:cs="Book Antiqua"/>
          <w:color w:val="000000" w:themeColor="text1"/>
          <w:sz w:val="22"/>
          <w:highlight w:val="yellow"/>
        </w:rPr>
      </w:pPr>
      <w:r>
        <w:rPr>
          <w:rFonts w:ascii="Book Antiqua" w:hAnsi="Book Antiqua" w:eastAsia="TimesNewRomanPSMT" w:cs="Book Antiqua"/>
          <w:color w:val="000000" w:themeColor="text1"/>
          <w:sz w:val="22"/>
          <w:highlight w:val="yellow"/>
          <w:u w:val="single"/>
          <w:lang w:val="en-US" w:eastAsia="zh-CN" w:bidi="ar"/>
        </w:rPr>
        <w:t>INDICAÇÃO EXPRESSA</w:t>
      </w:r>
      <w:r>
        <w:rPr>
          <w:rFonts w:ascii="Book Antiqua" w:hAnsi="Book Antiqua" w:eastAsia="TimesNewRomanPSMT" w:cs="Book Antiqua"/>
          <w:color w:val="000000" w:themeColor="text1"/>
          <w:sz w:val="22"/>
          <w:highlight w:val="yellow"/>
          <w:u w:val="single"/>
          <w:lang w:eastAsia="zh-CN" w:bidi="ar"/>
        </w:rPr>
        <w:t xml:space="preserve"> DO</w:t>
      </w:r>
      <w:r>
        <w:rPr>
          <w:rFonts w:ascii="Book Antiqua" w:hAnsi="Book Antiqua" w:eastAsia="TimesNewRomanPSMT" w:cs="Book Antiqua"/>
          <w:color w:val="000000" w:themeColor="text1"/>
          <w:sz w:val="22"/>
          <w:highlight w:val="yellow"/>
          <w:u w:val="single"/>
          <w:lang w:val="en-US" w:eastAsia="zh-CN" w:bidi="ar"/>
        </w:rPr>
        <w:t xml:space="preserve"> PRAZO E </w:t>
      </w:r>
      <w:r>
        <w:rPr>
          <w:rFonts w:ascii="Book Antiqua" w:hAnsi="Book Antiqua" w:eastAsia="TimesNewRomanPSMT" w:cs="Book Antiqua"/>
          <w:color w:val="000000" w:themeColor="text1"/>
          <w:sz w:val="22"/>
          <w:highlight w:val="yellow"/>
          <w:u w:val="single"/>
          <w:lang w:eastAsia="zh-CN" w:bidi="ar"/>
        </w:rPr>
        <w:t>CONDIÇÕES</w:t>
      </w:r>
      <w:r>
        <w:rPr>
          <w:rFonts w:ascii="Book Antiqua" w:hAnsi="Book Antiqua" w:eastAsia="TimesNewRomanPSMT" w:cs="Book Antiqua"/>
          <w:color w:val="000000" w:themeColor="text1"/>
          <w:sz w:val="22"/>
          <w:highlight w:val="yellow"/>
          <w:u w:val="single"/>
          <w:lang w:val="en-US" w:eastAsia="zh-CN" w:bidi="ar"/>
        </w:rPr>
        <w:t xml:space="preserve"> D</w:t>
      </w:r>
      <w:r>
        <w:rPr>
          <w:rFonts w:hint="default" w:ascii="Book Antiqua" w:hAnsi="Book Antiqua" w:eastAsia="TimesNewRomanPSMT" w:cs="Book Antiqua"/>
          <w:color w:val="000000" w:themeColor="text1"/>
          <w:sz w:val="22"/>
          <w:highlight w:val="yellow"/>
          <w:u w:val="single"/>
          <w:lang w:val="pt-BR" w:eastAsia="zh-CN" w:bidi="ar"/>
        </w:rPr>
        <w:t>OS SERVIÇOS DE ACORDO COM O ITEM 11 do TERMO DE REFERÊNCIA</w:t>
      </w:r>
      <w:r>
        <w:rPr>
          <w:rFonts w:ascii="Book Antiqua" w:hAnsi="Book Antiqua" w:eastAsia="TimesNewRomanPSMT" w:cs="Book Antiqua"/>
          <w:color w:val="000000" w:themeColor="text1"/>
          <w:sz w:val="22"/>
          <w:highlight w:val="yellow"/>
          <w:u w:val="single"/>
          <w:lang w:val="en-US" w:eastAsia="zh-CN" w:bidi="ar"/>
        </w:rPr>
        <w:t>, BEM</w:t>
      </w:r>
      <w:r>
        <w:rPr>
          <w:rFonts w:ascii="Book Antiqua" w:hAnsi="Book Antiqua" w:eastAsia="TimesNewRomanPSMT" w:cs="Book Antiqua"/>
          <w:color w:val="000000" w:themeColor="text1"/>
          <w:sz w:val="22"/>
          <w:highlight w:val="yellow"/>
          <w:u w:val="single"/>
          <w:lang w:eastAsia="zh-CN" w:bidi="ar"/>
        </w:rPr>
        <w:t xml:space="preserve"> </w:t>
      </w:r>
      <w:r>
        <w:rPr>
          <w:rFonts w:ascii="Book Antiqua" w:hAnsi="Book Antiqua" w:eastAsia="TimesNewRomanPSMT" w:cs="Book Antiqua"/>
          <w:color w:val="000000" w:themeColor="text1"/>
          <w:sz w:val="22"/>
          <w:highlight w:val="yellow"/>
          <w:u w:val="single"/>
          <w:lang w:val="en-US" w:eastAsia="zh-CN" w:bidi="ar"/>
        </w:rPr>
        <w:t xml:space="preserve">COMO PRAZO DE VALIDADE DA PROPOSTA NÃO INFERIOR </w:t>
      </w:r>
      <w:r>
        <w:rPr>
          <w:rFonts w:ascii="Book Antiqua" w:hAnsi="Book Antiqua" w:eastAsia="TimesNewRomanPSMT" w:cs="Book Antiqua"/>
          <w:color w:val="000000" w:themeColor="text1"/>
          <w:sz w:val="22"/>
          <w:highlight w:val="yellow"/>
          <w:u w:val="single"/>
          <w:lang w:eastAsia="zh-CN" w:bidi="ar"/>
        </w:rPr>
        <w:t>À</w:t>
      </w:r>
      <w:r>
        <w:rPr>
          <w:rFonts w:ascii="Book Antiqua" w:hAnsi="Book Antiqua" w:eastAsia="TimesNewRomanPSMT" w:cs="Book Antiqua"/>
          <w:color w:val="000000" w:themeColor="text1"/>
          <w:sz w:val="22"/>
          <w:highlight w:val="yellow"/>
          <w:u w:val="single"/>
          <w:lang w:val="en-US" w:eastAsia="zh-CN" w:bidi="ar"/>
        </w:rPr>
        <w:t xml:space="preserve"> 60 (SESSENTA) DIAS.</w:t>
      </w:r>
    </w:p>
    <w:p>
      <w:pPr>
        <w:pStyle w:val="29"/>
        <w:widowControl w:val="0"/>
        <w:numPr>
          <w:ilvl w:val="2"/>
          <w:numId w:val="9"/>
        </w:numPr>
        <w:tabs>
          <w:tab w:val="left" w:pos="220"/>
          <w:tab w:val="clear" w:pos="1288"/>
        </w:tabs>
        <w:spacing w:before="0" w:after="120"/>
        <w:ind w:left="660" w:firstLine="0"/>
        <w:jc w:val="both"/>
        <w:rPr>
          <w:rFonts w:ascii="Book Antiqua" w:hAnsi="Book Antiqua" w:cs="Book Antiqua"/>
          <w:b/>
          <w:sz w:val="22"/>
        </w:rPr>
      </w:pPr>
      <w:r>
        <w:rPr>
          <w:rFonts w:ascii="Book Antiqua" w:hAnsi="Book Antiqua" w:cs="Book Antiqua"/>
          <w:sz w:val="22"/>
        </w:rPr>
        <w:t>Deverá ser apresentada de forma impressa ou digitalizada, em língua portuguesa, em 01 (uma) via, contendo os dados da Empresa: Razão Social e CNPJ, endereço completo, telefone, endereço eletrônico (e-mail) para contato, bem como o nome do proponente ou de seu representante legal, CPF, RG, e cargo na empresa; e ainda as informações bancárias (banco, agência, número da conta corrente e praça de pagamento);</w:t>
      </w:r>
    </w:p>
    <w:p>
      <w:pPr>
        <w:pStyle w:val="29"/>
        <w:widowControl w:val="0"/>
        <w:numPr>
          <w:ilvl w:val="2"/>
          <w:numId w:val="9"/>
        </w:numPr>
        <w:tabs>
          <w:tab w:val="left" w:pos="220"/>
          <w:tab w:val="clear" w:pos="1288"/>
        </w:tabs>
        <w:spacing w:before="0" w:after="120"/>
        <w:ind w:left="660" w:firstLine="0"/>
        <w:jc w:val="both"/>
        <w:rPr>
          <w:rFonts w:ascii="Book Antiqua" w:hAnsi="Book Antiqua" w:cs="Book Antiqua"/>
          <w:b/>
          <w:sz w:val="22"/>
        </w:rPr>
      </w:pPr>
      <w:r>
        <w:rPr>
          <w:rFonts w:ascii="Book Antiqua" w:hAnsi="Book Antiqua" w:cs="Book Antiqua"/>
          <w:sz w:val="22"/>
        </w:rPr>
        <w:t xml:space="preserve">Os preços deverão ser expressos em moeda corrente nacional, o valor unitário em algarismos e o valor global em algarismos e por extenso (art. 5º da Lei nº 8.666/93), </w:t>
      </w:r>
      <w:r>
        <w:rPr>
          <w:rFonts w:ascii="Book Antiqua" w:hAnsi="Book Antiqua" w:cs="Book Antiqua"/>
          <w:b/>
          <w:bCs/>
          <w:sz w:val="22"/>
        </w:rPr>
        <w:t>com no máximo 02 (duas) casas decimais</w:t>
      </w:r>
      <w:r>
        <w:rPr>
          <w:rFonts w:ascii="Book Antiqua" w:hAnsi="Book Antiqua" w:cs="Book Antiqua"/>
          <w:sz w:val="22"/>
        </w:rPr>
        <w:t>, considerando as quantidades constantes no Termo de Referência (Anexo I) deste Edital;</w:t>
      </w:r>
    </w:p>
    <w:p>
      <w:pPr>
        <w:pStyle w:val="29"/>
        <w:widowControl w:val="0"/>
        <w:numPr>
          <w:ilvl w:val="2"/>
          <w:numId w:val="9"/>
        </w:numPr>
        <w:tabs>
          <w:tab w:val="left" w:pos="220"/>
          <w:tab w:val="clear" w:pos="1288"/>
        </w:tabs>
        <w:spacing w:before="0" w:after="120"/>
        <w:ind w:left="660" w:firstLine="0"/>
        <w:jc w:val="both"/>
        <w:rPr>
          <w:sz w:val="22"/>
        </w:rPr>
      </w:pPr>
      <w:r>
        <w:rPr>
          <w:rFonts w:ascii="Book Antiqua" w:hAnsi="Book Antiqua" w:cs="Book Antiqua"/>
          <w:bCs/>
          <w:sz w:val="22"/>
        </w:rPr>
        <w:t>Ocorrendo divergência entre os preços unitários e o preço global, prevalecerão os primeiros; no caso de divergência entre os valores numéricos e os valores expressos por extenso, prevalecerão estes últimos.</w:t>
      </w:r>
    </w:p>
    <w:p>
      <w:pPr>
        <w:pStyle w:val="29"/>
        <w:widowControl w:val="0"/>
        <w:numPr>
          <w:ilvl w:val="2"/>
          <w:numId w:val="9"/>
        </w:numPr>
        <w:tabs>
          <w:tab w:val="left" w:pos="220"/>
          <w:tab w:val="clear" w:pos="1288"/>
        </w:tabs>
        <w:spacing w:before="0" w:after="120"/>
        <w:ind w:left="660" w:firstLine="0"/>
        <w:jc w:val="both"/>
        <w:rPr>
          <w:rFonts w:ascii="Book Antiqua" w:hAnsi="Book Antiqua"/>
          <w:sz w:val="22"/>
        </w:rPr>
      </w:pPr>
      <w:r>
        <w:rPr>
          <w:rFonts w:ascii="Book Antiqua" w:hAnsi="Book Antiqua" w:cs="Book Antiqua"/>
          <w:sz w:val="22"/>
        </w:rPr>
        <w:t xml:space="preserve">O licitante deverá obedecer rigorosamente aos termos deste Edital e seus anexos. Em caso de discordância existente entre as especificações deste objeto ou quaisquer outras condições descritas </w:t>
      </w:r>
      <w:r>
        <w:rPr>
          <w:rFonts w:ascii="Book Antiqua" w:hAnsi="Book Antiqua" w:cs="Book Antiqua"/>
          <w:b/>
          <w:sz w:val="22"/>
        </w:rPr>
        <w:t>no sistema COMPRASNET e as especificações constantes no MODELO DE CARTA PROPOSTA e EDITAL</w:t>
      </w:r>
      <w:r>
        <w:rPr>
          <w:rFonts w:ascii="Book Antiqua" w:hAnsi="Book Antiqua" w:cs="Book Antiqua"/>
          <w:sz w:val="22"/>
        </w:rPr>
        <w:t>, prevalecerão às duas últimas.</w:t>
      </w:r>
    </w:p>
    <w:p>
      <w:pPr>
        <w:pStyle w:val="29"/>
        <w:widowControl w:val="0"/>
        <w:numPr>
          <w:ilvl w:val="1"/>
          <w:numId w:val="9"/>
        </w:numPr>
        <w:tabs>
          <w:tab w:val="left" w:pos="220"/>
          <w:tab w:val="clear" w:pos="720"/>
        </w:tabs>
        <w:spacing w:before="0" w:after="120"/>
        <w:ind w:left="0" w:firstLine="0"/>
        <w:jc w:val="both"/>
        <w:rPr>
          <w:rFonts w:ascii="Book Antiqua" w:hAnsi="Book Antiqua"/>
          <w:sz w:val="22"/>
        </w:rPr>
      </w:pPr>
      <w:r>
        <w:rPr>
          <w:rFonts w:ascii="Book Antiqua" w:hAnsi="Book Antiqua" w:cs="Book Antiqua"/>
          <w:sz w:val="22"/>
        </w:rPr>
        <w:t xml:space="preserve">As propostas poderão ser registradas à partir da data da liberação do Edital no site </w:t>
      </w:r>
      <w:r>
        <w:fldChar w:fldCharType="begin"/>
      </w:r>
      <w:r>
        <w:instrText xml:space="preserve"> HYPERLINK "http://www.comprasgovernamentais.gov.br" </w:instrText>
      </w:r>
      <w:r>
        <w:fldChar w:fldCharType="separate"/>
      </w:r>
      <w:r>
        <w:rPr>
          <w:rStyle w:val="19"/>
          <w:rFonts w:ascii="Book Antiqua" w:hAnsi="Book Antiqua" w:cs="Book Antiqua"/>
          <w:b/>
          <w:sz w:val="22"/>
        </w:rPr>
        <w:t>www.gov.br</w:t>
      </w:r>
      <w:r>
        <w:rPr>
          <w:rStyle w:val="19"/>
          <w:rFonts w:ascii="Book Antiqua" w:hAnsi="Book Antiqua" w:cs="Book Antiqua"/>
          <w:b/>
          <w:sz w:val="22"/>
        </w:rPr>
        <w:fldChar w:fldCharType="end"/>
      </w:r>
      <w:r>
        <w:rPr>
          <w:rStyle w:val="19"/>
          <w:rFonts w:ascii="Book Antiqua" w:hAnsi="Book Antiqua" w:cs="Book Antiqua"/>
          <w:b/>
          <w:sz w:val="22"/>
        </w:rPr>
        <w:t>/compras</w:t>
      </w:r>
      <w:r>
        <w:rPr>
          <w:rFonts w:ascii="Book Antiqua" w:hAnsi="Book Antiqua" w:cs="Book Antiqua"/>
          <w:sz w:val="22"/>
        </w:rPr>
        <w:t xml:space="preserve">, até o horário limite de início da Sessão Pública, definido no preâmbulo do Edital, exclusivamente por meio do Sistema Eletrônico. Durante este período a Licitante poderá incluir ou excluir proposta de preços e/ou os documentos de habilitação </w:t>
      </w:r>
      <w:r>
        <w:rPr>
          <w:rFonts w:ascii="Book Antiqua" w:hAnsi="Book Antiqua"/>
          <w:sz w:val="22"/>
        </w:rPr>
        <w:t xml:space="preserve">até a data e o horário estabelecidos para abertura da sessão pública, quando, então, encerrar-se-á automaticamente a etapa de envio dessa documentação. </w:t>
      </w:r>
    </w:p>
    <w:p>
      <w:pPr>
        <w:pStyle w:val="29"/>
        <w:keepNext w:val="0"/>
        <w:keepLines w:val="0"/>
        <w:pageBreakBefore w:val="0"/>
        <w:widowControl w:val="0"/>
        <w:numPr>
          <w:ilvl w:val="2"/>
          <w:numId w:val="9"/>
        </w:numPr>
        <w:tabs>
          <w:tab w:val="left" w:pos="220"/>
          <w:tab w:val="clear" w:pos="1288"/>
        </w:tabs>
        <w:kinsoku/>
        <w:wordWrap/>
        <w:overflowPunct/>
        <w:topLinePunct w:val="0"/>
        <w:autoSpaceDE/>
        <w:autoSpaceDN/>
        <w:bidi w:val="0"/>
        <w:adjustRightInd/>
        <w:snapToGrid/>
        <w:spacing w:before="0" w:after="60"/>
        <w:jc w:val="both"/>
        <w:textAlignment w:val="auto"/>
        <w:rPr>
          <w:rFonts w:ascii="Book Antiqua" w:hAnsi="Book Antiqua"/>
          <w:sz w:val="22"/>
        </w:rPr>
      </w:pPr>
      <w:r>
        <w:rPr>
          <w:rFonts w:ascii="Book Antiqua" w:hAnsi="Book Antiqua"/>
          <w:color w:val="000000"/>
          <w:sz w:val="22"/>
        </w:rPr>
        <w:t>O envio da proposta, acompanhada dos documentos de habilitação exigidos neste Edital, ocorrerá por meio de chave de acesso e senha.</w:t>
      </w:r>
    </w:p>
    <w:p>
      <w:pPr>
        <w:pStyle w:val="29"/>
        <w:keepNext w:val="0"/>
        <w:keepLines w:val="0"/>
        <w:pageBreakBefore w:val="0"/>
        <w:widowControl w:val="0"/>
        <w:numPr>
          <w:ilvl w:val="1"/>
          <w:numId w:val="9"/>
        </w:numPr>
        <w:tabs>
          <w:tab w:val="left" w:pos="220"/>
          <w:tab w:val="clear" w:pos="720"/>
        </w:tabs>
        <w:kinsoku/>
        <w:wordWrap/>
        <w:overflowPunct/>
        <w:topLinePunct w:val="0"/>
        <w:autoSpaceDE/>
        <w:autoSpaceDN/>
        <w:bidi w:val="0"/>
        <w:adjustRightInd/>
        <w:snapToGrid/>
        <w:spacing w:before="0" w:after="60"/>
        <w:ind w:left="0" w:firstLine="0"/>
        <w:jc w:val="both"/>
        <w:textAlignment w:val="auto"/>
        <w:rPr>
          <w:rFonts w:ascii="Book Antiqua" w:hAnsi="Book Antiqua"/>
          <w:sz w:val="22"/>
        </w:rPr>
      </w:pPr>
      <w:r>
        <w:rPr>
          <w:rFonts w:ascii="Book Antiqua" w:hAnsi="Book Antiqua"/>
          <w:sz w:val="22"/>
          <w:highlight w:val="yellow"/>
        </w:rPr>
        <w:t xml:space="preserve">Os licitantes poderão deixar de apresentar os documentos de habilitação que constem do </w:t>
      </w:r>
      <w:r>
        <w:rPr>
          <w:rFonts w:ascii="Book Antiqua" w:hAnsi="Book Antiqua"/>
          <w:b/>
          <w:bCs/>
          <w:sz w:val="22"/>
          <w:highlight w:val="yellow"/>
        </w:rPr>
        <w:t>SICAF</w:t>
      </w:r>
      <w:r>
        <w:rPr>
          <w:rFonts w:ascii="Book Antiqua" w:hAnsi="Book Antiqua"/>
          <w:sz w:val="22"/>
        </w:rPr>
        <w:t>, desde que o Cadastro esteja devidamente atualizado, assegurado aos demais licitantes o direito de acesso aos dados constantes dos sistemas.</w:t>
      </w:r>
    </w:p>
    <w:p>
      <w:pPr>
        <w:pStyle w:val="29"/>
        <w:keepNext w:val="0"/>
        <w:keepLines w:val="0"/>
        <w:pageBreakBefore w:val="0"/>
        <w:widowControl w:val="0"/>
        <w:numPr>
          <w:ilvl w:val="1"/>
          <w:numId w:val="9"/>
        </w:numPr>
        <w:tabs>
          <w:tab w:val="left" w:pos="220"/>
          <w:tab w:val="clear" w:pos="720"/>
        </w:tabs>
        <w:kinsoku/>
        <w:wordWrap/>
        <w:overflowPunct/>
        <w:topLinePunct w:val="0"/>
        <w:autoSpaceDE/>
        <w:autoSpaceDN/>
        <w:bidi w:val="0"/>
        <w:adjustRightInd/>
        <w:snapToGrid/>
        <w:spacing w:before="0" w:after="60"/>
        <w:ind w:left="0" w:firstLine="0"/>
        <w:jc w:val="both"/>
        <w:textAlignment w:val="auto"/>
        <w:rPr>
          <w:rFonts w:ascii="Book Antiqua" w:hAnsi="Book Antiqua"/>
          <w:sz w:val="22"/>
        </w:rPr>
      </w:pPr>
      <w:r>
        <w:rPr>
          <w:rFonts w:ascii="Book Antiqua" w:hAnsi="Book Antiqua"/>
          <w:sz w:val="22"/>
        </w:rPr>
        <w:t>Não será estabelecida, nessa etapa do certame, ordem de classificação entre as propostas apresentadas, o que somente ocorrerá após a realização dos procedimentos de negociação e julgamento da proposta.</w:t>
      </w:r>
    </w:p>
    <w:p>
      <w:pPr>
        <w:pStyle w:val="29"/>
        <w:keepNext w:val="0"/>
        <w:keepLines w:val="0"/>
        <w:pageBreakBefore w:val="0"/>
        <w:widowControl w:val="0"/>
        <w:numPr>
          <w:ilvl w:val="1"/>
          <w:numId w:val="9"/>
        </w:numPr>
        <w:tabs>
          <w:tab w:val="left" w:pos="220"/>
          <w:tab w:val="clear" w:pos="720"/>
        </w:tabs>
        <w:kinsoku/>
        <w:wordWrap/>
        <w:overflowPunct/>
        <w:topLinePunct w:val="0"/>
        <w:autoSpaceDE/>
        <w:autoSpaceDN/>
        <w:bidi w:val="0"/>
        <w:adjustRightInd/>
        <w:snapToGrid/>
        <w:spacing w:before="0" w:after="60"/>
        <w:ind w:left="0" w:firstLine="0"/>
        <w:jc w:val="both"/>
        <w:textAlignment w:val="auto"/>
        <w:rPr>
          <w:rFonts w:ascii="Book Antiqua" w:hAnsi="Book Antiqua"/>
          <w:sz w:val="22"/>
        </w:rPr>
      </w:pPr>
      <w:r>
        <w:rPr>
          <w:rFonts w:ascii="Book Antiqua" w:hAnsi="Book Antiqua"/>
          <w:sz w:val="22"/>
        </w:rPr>
        <w:t>Os documentos que compõem a proposta e a habilitação do licitante melhor classificado somente serão disponibilizados para avaliação do pregoeiro e para acesso público após o encerramento do envio de lances.</w:t>
      </w:r>
    </w:p>
    <w:p>
      <w:pPr>
        <w:pStyle w:val="29"/>
        <w:keepNext w:val="0"/>
        <w:keepLines w:val="0"/>
        <w:pageBreakBefore w:val="0"/>
        <w:widowControl w:val="0"/>
        <w:numPr>
          <w:ilvl w:val="1"/>
          <w:numId w:val="9"/>
        </w:numPr>
        <w:tabs>
          <w:tab w:val="left" w:pos="220"/>
          <w:tab w:val="clear" w:pos="720"/>
        </w:tabs>
        <w:kinsoku/>
        <w:wordWrap/>
        <w:overflowPunct/>
        <w:topLinePunct w:val="0"/>
        <w:autoSpaceDE/>
        <w:autoSpaceDN/>
        <w:bidi w:val="0"/>
        <w:adjustRightInd/>
        <w:snapToGrid/>
        <w:spacing w:before="0" w:after="60"/>
        <w:ind w:left="0" w:firstLine="0"/>
        <w:jc w:val="both"/>
        <w:textAlignment w:val="auto"/>
        <w:rPr>
          <w:rFonts w:ascii="Book Antiqua" w:hAnsi="Book Antiqua"/>
          <w:sz w:val="22"/>
        </w:rPr>
      </w:pPr>
      <w:r>
        <w:rPr>
          <w:rFonts w:ascii="Book Antiqua" w:hAnsi="Book Antiqua"/>
          <w:sz w:val="22"/>
        </w:rPr>
        <w:t>As Microempresas e Empresas de Pequeno Porte deverão encaminhar a documentação de habilitação, ainda que haja alguma restrição de regularidade fiscal e trabalhista, nos termos do art. 43, § 1º da LC nº 123, de 2006.</w:t>
      </w:r>
    </w:p>
    <w:p>
      <w:pPr>
        <w:pStyle w:val="29"/>
        <w:keepNext w:val="0"/>
        <w:keepLines w:val="0"/>
        <w:pageBreakBefore w:val="0"/>
        <w:widowControl w:val="0"/>
        <w:numPr>
          <w:ilvl w:val="1"/>
          <w:numId w:val="9"/>
        </w:numPr>
        <w:tabs>
          <w:tab w:val="left" w:pos="220"/>
          <w:tab w:val="clear" w:pos="720"/>
        </w:tabs>
        <w:kinsoku/>
        <w:wordWrap/>
        <w:overflowPunct/>
        <w:topLinePunct w:val="0"/>
        <w:autoSpaceDE/>
        <w:autoSpaceDN/>
        <w:bidi w:val="0"/>
        <w:adjustRightInd/>
        <w:snapToGrid/>
        <w:spacing w:before="0" w:after="60"/>
        <w:ind w:left="0" w:firstLine="0"/>
        <w:jc w:val="both"/>
        <w:textAlignment w:val="auto"/>
        <w:rPr>
          <w:rFonts w:ascii="Book Antiqua" w:hAnsi="Book Antiqua"/>
          <w:sz w:val="22"/>
        </w:rPr>
      </w:pPr>
      <w:r>
        <w:rPr>
          <w:rFonts w:ascii="Book Antiqua" w:hAnsi="Book Antiqua"/>
          <w:spacing w:val="2"/>
          <w:sz w:val="22"/>
        </w:rPr>
        <w:t>O Licitante será inteiramente responsável por todas as transações assumidas em seu nome no sistema eletrônico, assumindo como verdadeiras e firmes suas propostas e subsequentes lances, se for o caso (Art. 13, III do Decreto municipal nº. 15.792/2019), bem como acompanhar as operações no sistema durante a sessão, ficando responsável pelo ônus decorrente da perda de negócios diante da inobservância de quaisquer mensagens emitidas pelo sistema ou de sua desconexão (Art. 13, IV do Decreto municipal nº. 15.792/2019).</w:t>
      </w:r>
    </w:p>
    <w:p>
      <w:pPr>
        <w:pStyle w:val="29"/>
        <w:keepNext w:val="0"/>
        <w:keepLines w:val="0"/>
        <w:pageBreakBefore w:val="0"/>
        <w:widowControl w:val="0"/>
        <w:numPr>
          <w:ilvl w:val="1"/>
          <w:numId w:val="9"/>
        </w:numPr>
        <w:tabs>
          <w:tab w:val="left" w:pos="220"/>
          <w:tab w:val="clear" w:pos="720"/>
        </w:tabs>
        <w:kinsoku/>
        <w:wordWrap/>
        <w:overflowPunct/>
        <w:topLinePunct w:val="0"/>
        <w:autoSpaceDE/>
        <w:autoSpaceDN/>
        <w:bidi w:val="0"/>
        <w:adjustRightInd/>
        <w:snapToGrid/>
        <w:spacing w:before="0" w:after="60"/>
        <w:ind w:left="0" w:firstLine="0"/>
        <w:jc w:val="both"/>
        <w:textAlignment w:val="auto"/>
        <w:rPr>
          <w:rFonts w:ascii="Book Antiqua" w:hAnsi="Book Antiqua"/>
          <w:sz w:val="22"/>
        </w:rPr>
      </w:pPr>
      <w:r>
        <w:rPr>
          <w:rFonts w:ascii="Book Antiqua" w:hAnsi="Book Antiqua"/>
          <w:sz w:val="22"/>
        </w:rPr>
        <w:t>A proposta deverá obedecer aos termos deste Edital e seus Anexos, não sendo considerada aquela que não corresponda às especificações ali contidas ou que estabeleça vínculo à proposta de outro licitante.</w:t>
      </w:r>
    </w:p>
    <w:p>
      <w:pPr>
        <w:pStyle w:val="29"/>
        <w:keepNext w:val="0"/>
        <w:keepLines w:val="0"/>
        <w:pageBreakBefore w:val="0"/>
        <w:widowControl w:val="0"/>
        <w:numPr>
          <w:ilvl w:val="1"/>
          <w:numId w:val="9"/>
        </w:numPr>
        <w:tabs>
          <w:tab w:val="left" w:pos="220"/>
          <w:tab w:val="clear" w:pos="720"/>
        </w:tabs>
        <w:kinsoku/>
        <w:wordWrap/>
        <w:overflowPunct/>
        <w:topLinePunct w:val="0"/>
        <w:autoSpaceDE/>
        <w:autoSpaceDN/>
        <w:bidi w:val="0"/>
        <w:adjustRightInd/>
        <w:snapToGrid/>
        <w:spacing w:before="0" w:after="60"/>
        <w:ind w:left="0" w:firstLine="0"/>
        <w:jc w:val="both"/>
        <w:textAlignment w:val="auto"/>
        <w:rPr>
          <w:rFonts w:ascii="Book Antiqua" w:hAnsi="Book Antiqua"/>
          <w:sz w:val="22"/>
        </w:rPr>
      </w:pPr>
      <w:r>
        <w:rPr>
          <w:rFonts w:ascii="Book Antiqua" w:hAnsi="Book Antiqua"/>
          <w:sz w:val="22"/>
        </w:rPr>
        <w:t xml:space="preserve">Poderá o pregoeiro, a qualquer momento, solicitar informações adicionais, esclarecimentos a respeito da proposta, assim como o envio de amostras, catálogos e documentos, de forma extraordinária, mesmo que não previstos no Termo de Referência, para o perfeito conhecimento do objeto licitado. Solicitações dessa natureza serão realizadas via chat. A licitante deverá atender a tais solicitações dentro do prazo a ser definido pelo pregoeiro via </w:t>
      </w:r>
      <w:r>
        <w:rPr>
          <w:rFonts w:ascii="Book Antiqua" w:hAnsi="Book Antiqua"/>
          <w:iCs/>
          <w:sz w:val="22"/>
        </w:rPr>
        <w:t>chat</w:t>
      </w:r>
      <w:r>
        <w:rPr>
          <w:rFonts w:ascii="Book Antiqua" w:hAnsi="Book Antiqua"/>
          <w:sz w:val="22"/>
        </w:rPr>
        <w:t>, do contrário sua proposta poderá ser desclassificada.</w:t>
      </w:r>
    </w:p>
    <w:p>
      <w:pPr>
        <w:pStyle w:val="29"/>
        <w:keepNext w:val="0"/>
        <w:keepLines w:val="0"/>
        <w:pageBreakBefore w:val="0"/>
        <w:widowControl w:val="0"/>
        <w:numPr>
          <w:ilvl w:val="1"/>
          <w:numId w:val="9"/>
        </w:numPr>
        <w:tabs>
          <w:tab w:val="left" w:pos="220"/>
          <w:tab w:val="clear" w:pos="720"/>
        </w:tabs>
        <w:kinsoku/>
        <w:wordWrap/>
        <w:overflowPunct/>
        <w:topLinePunct w:val="0"/>
        <w:autoSpaceDE/>
        <w:autoSpaceDN/>
        <w:bidi w:val="0"/>
        <w:adjustRightInd/>
        <w:snapToGrid/>
        <w:spacing w:before="0" w:after="60"/>
        <w:ind w:left="0" w:firstLine="0"/>
        <w:jc w:val="both"/>
        <w:textAlignment w:val="auto"/>
        <w:rPr>
          <w:rFonts w:ascii="Book Antiqua" w:hAnsi="Book Antiqua"/>
          <w:sz w:val="22"/>
        </w:rPr>
      </w:pPr>
      <w:r>
        <w:rPr>
          <w:rFonts w:ascii="Book Antiqua" w:hAnsi="Book Antiqua"/>
          <w:sz w:val="22"/>
        </w:rPr>
        <w:t xml:space="preserve">No preço ofertado deverão estar incluídos todos os insumos que o compõem, tais como: despesas com mão de obra, materiais, equipamentos, impostos, taxas, fretes, descontos e quaisquer outros que incidam direta ou indiretamente na execução do objeto desta licitação. </w:t>
      </w:r>
    </w:p>
    <w:p>
      <w:pPr>
        <w:pStyle w:val="29"/>
        <w:keepNext w:val="0"/>
        <w:keepLines w:val="0"/>
        <w:pageBreakBefore w:val="0"/>
        <w:widowControl w:val="0"/>
        <w:numPr>
          <w:ilvl w:val="1"/>
          <w:numId w:val="9"/>
        </w:numPr>
        <w:tabs>
          <w:tab w:val="left" w:pos="220"/>
          <w:tab w:val="clear" w:pos="720"/>
        </w:tabs>
        <w:kinsoku/>
        <w:wordWrap/>
        <w:overflowPunct/>
        <w:topLinePunct w:val="0"/>
        <w:autoSpaceDE/>
        <w:autoSpaceDN/>
        <w:bidi w:val="0"/>
        <w:adjustRightInd/>
        <w:snapToGrid/>
        <w:spacing w:before="0" w:after="60"/>
        <w:ind w:left="0" w:firstLine="0"/>
        <w:jc w:val="both"/>
        <w:textAlignment w:val="auto"/>
        <w:rPr>
          <w:rFonts w:ascii="Book Antiqua" w:hAnsi="Book Antiqua"/>
          <w:sz w:val="22"/>
        </w:rPr>
      </w:pPr>
      <w:r>
        <w:rPr>
          <w:rFonts w:ascii="Book Antiqua" w:hAnsi="Book Antiqua"/>
          <w:sz w:val="22"/>
        </w:rPr>
        <w:t>Os licitantes deverão considerar no cálculo de suas propostas, quando aplicável, a carga efetiva líquida do ICMS vigente nas operações internas do Estado de Rondônia.</w:t>
      </w:r>
    </w:p>
    <w:p>
      <w:pPr>
        <w:pStyle w:val="29"/>
        <w:keepNext w:val="0"/>
        <w:keepLines w:val="0"/>
        <w:pageBreakBefore w:val="0"/>
        <w:widowControl w:val="0"/>
        <w:numPr>
          <w:ilvl w:val="1"/>
          <w:numId w:val="9"/>
        </w:numPr>
        <w:tabs>
          <w:tab w:val="left" w:pos="220"/>
          <w:tab w:val="clear" w:pos="720"/>
        </w:tabs>
        <w:kinsoku/>
        <w:wordWrap/>
        <w:overflowPunct/>
        <w:topLinePunct w:val="0"/>
        <w:autoSpaceDE/>
        <w:autoSpaceDN/>
        <w:bidi w:val="0"/>
        <w:adjustRightInd/>
        <w:snapToGrid/>
        <w:spacing w:before="0" w:after="60"/>
        <w:ind w:left="0" w:firstLine="0"/>
        <w:jc w:val="both"/>
        <w:textAlignment w:val="auto"/>
        <w:rPr>
          <w:rFonts w:ascii="Book Antiqua" w:hAnsi="Book Antiqua"/>
          <w:sz w:val="22"/>
        </w:rPr>
      </w:pPr>
      <w:r>
        <w:rPr>
          <w:rFonts w:ascii="Book Antiqua" w:hAnsi="Book Antiqua"/>
          <w:sz w:val="22"/>
        </w:rPr>
        <w:t>A proposta final deverá ser documentada nos autos e será levada em consideração no decorrer da execução do contrato e aplicação de eventual sanção à Contratada, se for o caso.</w:t>
      </w:r>
    </w:p>
    <w:p>
      <w:pPr>
        <w:pStyle w:val="29"/>
        <w:numPr>
          <w:ilvl w:val="0"/>
          <w:numId w:val="9"/>
        </w:numPr>
        <w:pBdr>
          <w:top w:val="single" w:color="auto" w:sz="4" w:space="1"/>
          <w:left w:val="single" w:color="auto" w:sz="4" w:space="4"/>
          <w:bottom w:val="single" w:color="auto" w:sz="4" w:space="1"/>
          <w:right w:val="single" w:color="auto" w:sz="4" w:space="4"/>
        </w:pBdr>
        <w:shd w:val="clear" w:color="auto" w:fill="D9D9D9"/>
        <w:spacing w:before="0" w:after="120"/>
        <w:ind w:left="0" w:firstLine="0"/>
        <w:jc w:val="both"/>
        <w:rPr>
          <w:rFonts w:ascii="Book Antiqua" w:hAnsi="Book Antiqua"/>
          <w:b/>
          <w:bCs/>
          <w:color w:val="0000FF"/>
          <w:sz w:val="22"/>
        </w:rPr>
      </w:pPr>
      <w:r>
        <w:rPr>
          <w:rFonts w:ascii="Book Antiqua" w:hAnsi="Book Antiqua"/>
          <w:b/>
          <w:bCs/>
          <w:color w:val="0000FF"/>
          <w:sz w:val="22"/>
        </w:rPr>
        <w:t>DA PROPOSTA DE PREÇOS REGISTRADA NO SISTEMA</w:t>
      </w:r>
    </w:p>
    <w:p>
      <w:pPr>
        <w:pStyle w:val="29"/>
        <w:widowControl w:val="0"/>
        <w:numPr>
          <w:ilvl w:val="1"/>
          <w:numId w:val="9"/>
        </w:numPr>
        <w:tabs>
          <w:tab w:val="left" w:pos="220"/>
          <w:tab w:val="clear" w:pos="720"/>
        </w:tabs>
        <w:spacing w:before="0" w:after="120"/>
        <w:ind w:left="0" w:firstLine="0"/>
        <w:jc w:val="both"/>
        <w:rPr>
          <w:rFonts w:ascii="Book Antiqua" w:hAnsi="Book Antiqua" w:cs="Book Antiqua"/>
          <w:color w:val="000000"/>
          <w:sz w:val="22"/>
        </w:rPr>
      </w:pPr>
      <w:r>
        <w:rPr>
          <w:rFonts w:ascii="Book Antiqua" w:hAnsi="Book Antiqua" w:cs="Book Antiqua"/>
          <w:sz w:val="22"/>
        </w:rPr>
        <w:t>Após</w:t>
      </w:r>
      <w:r>
        <w:rPr>
          <w:rFonts w:ascii="Book Antiqua" w:hAnsi="Book Antiqua" w:cs="Book Antiqua"/>
          <w:color w:val="000000"/>
          <w:sz w:val="22"/>
        </w:rPr>
        <w:t xml:space="preserve"> a divulgação do Edital no endereço eletrônico </w:t>
      </w:r>
      <w:r>
        <w:fldChar w:fldCharType="begin"/>
      </w:r>
      <w:r>
        <w:instrText xml:space="preserve"> HYPERLINK "http://www.comprasnet.gov.br" </w:instrText>
      </w:r>
      <w:r>
        <w:fldChar w:fldCharType="separate"/>
      </w:r>
      <w:r>
        <w:rPr>
          <w:rStyle w:val="19"/>
          <w:rFonts w:ascii="Book Antiqua" w:hAnsi="Book Antiqua" w:cs="Book Antiqua"/>
          <w:b/>
          <w:bCs/>
          <w:sz w:val="22"/>
        </w:rPr>
        <w:t>www.gov.br</w:t>
      </w:r>
      <w:r>
        <w:rPr>
          <w:rStyle w:val="19"/>
          <w:rFonts w:ascii="Book Antiqua" w:hAnsi="Book Antiqua" w:cs="Book Antiqua"/>
          <w:b/>
          <w:bCs/>
          <w:sz w:val="22"/>
        </w:rPr>
        <w:fldChar w:fldCharType="end"/>
      </w:r>
      <w:r>
        <w:rPr>
          <w:rStyle w:val="19"/>
          <w:rFonts w:ascii="Book Antiqua" w:hAnsi="Book Antiqua" w:cs="Book Antiqua"/>
          <w:b/>
          <w:bCs/>
          <w:sz w:val="22"/>
        </w:rPr>
        <w:t>/compras</w:t>
      </w:r>
      <w:r>
        <w:rPr>
          <w:rFonts w:ascii="Book Antiqua" w:hAnsi="Book Antiqua" w:cs="Book Antiqua"/>
          <w:color w:val="000000"/>
          <w:sz w:val="22"/>
        </w:rPr>
        <w:t>, os licitantes deverão REGISTRAR/ENVIAR suas propostas mediante o preenchimento, no sistema eletrônico, dos seguintes campos:</w:t>
      </w:r>
    </w:p>
    <w:p>
      <w:pPr>
        <w:pStyle w:val="29"/>
        <w:widowControl w:val="0"/>
        <w:numPr>
          <w:ilvl w:val="0"/>
          <w:numId w:val="12"/>
        </w:numPr>
        <w:spacing w:before="0" w:after="120"/>
        <w:ind w:hanging="114"/>
        <w:jc w:val="both"/>
        <w:rPr>
          <w:rFonts w:ascii="Book Antiqua" w:hAnsi="Book Antiqua" w:cs="Book Antiqua"/>
          <w:color w:val="000000"/>
          <w:sz w:val="22"/>
        </w:rPr>
      </w:pPr>
      <w:r>
        <w:rPr>
          <w:rFonts w:ascii="Book Antiqua" w:hAnsi="Book Antiqua" w:cs="Book Antiqua"/>
          <w:iCs/>
          <w:color w:val="000000"/>
          <w:sz w:val="22"/>
        </w:rPr>
        <w:t>Valor Unitário e Total (R$);</w:t>
      </w:r>
    </w:p>
    <w:p>
      <w:pPr>
        <w:pStyle w:val="29"/>
        <w:widowControl w:val="0"/>
        <w:numPr>
          <w:ilvl w:val="0"/>
          <w:numId w:val="12"/>
        </w:numPr>
        <w:spacing w:before="0" w:after="120"/>
        <w:ind w:hanging="114"/>
        <w:jc w:val="both"/>
        <w:rPr>
          <w:rFonts w:ascii="Book Antiqua" w:hAnsi="Book Antiqua" w:cs="Book Antiqua"/>
          <w:color w:val="000000"/>
          <w:sz w:val="22"/>
        </w:rPr>
      </w:pPr>
      <w:r>
        <w:rPr>
          <w:rFonts w:ascii="Book Antiqua" w:hAnsi="Book Antiqua" w:eastAsia="SimSun" w:cs="Book Antiqua"/>
          <w:color w:val="000000"/>
          <w:sz w:val="22"/>
          <w:lang w:val="en-US" w:eastAsia="zh-CN" w:bidi="ar"/>
        </w:rPr>
        <w:t>Descrição detalhada do</w:t>
      </w:r>
      <w:r>
        <w:rPr>
          <w:rFonts w:ascii="Book Antiqua" w:hAnsi="Book Antiqua" w:eastAsia="SimSun" w:cs="Book Antiqua"/>
          <w:color w:val="000000"/>
          <w:sz w:val="22"/>
          <w:lang w:eastAsia="zh-CN" w:bidi="ar"/>
        </w:rPr>
        <w:t>s Serviços ofertados</w:t>
      </w:r>
      <w:r>
        <w:rPr>
          <w:rFonts w:ascii="Book Antiqua" w:hAnsi="Book Antiqua" w:eastAsia="SimSun" w:cs="Book Antiqua"/>
          <w:color w:val="000000"/>
          <w:sz w:val="22"/>
          <w:lang w:val="en-US" w:eastAsia="zh-CN" w:bidi="ar"/>
        </w:rPr>
        <w:t xml:space="preserve">, contendo as informações similares à especificação do Termo de Referência: indicando, no que for aplicável, </w:t>
      </w:r>
      <w:r>
        <w:rPr>
          <w:rFonts w:ascii="Book Antiqua" w:hAnsi="Book Antiqua" w:eastAsia="Arial-ItalicMT" w:cs="Book Antiqua"/>
          <w:i/>
          <w:iCs/>
          <w:color w:val="000000"/>
          <w:sz w:val="22"/>
          <w:lang w:val="en-US" w:eastAsia="zh-CN" w:bidi="ar"/>
        </w:rPr>
        <w:t xml:space="preserve">o modelo, prazo de validade ou de garantia, número do registro ou inscrição do bem no órgão competente, </w:t>
      </w:r>
      <w:r>
        <w:rPr>
          <w:rFonts w:ascii="Book Antiqua" w:hAnsi="Book Antiqua" w:eastAsia="Arial-ItalicMT" w:cs="Book Antiqua"/>
          <w:b/>
          <w:bCs/>
          <w:i/>
          <w:iCs/>
          <w:color w:val="000000"/>
          <w:sz w:val="22"/>
          <w:lang w:val="en-US" w:eastAsia="zh-CN" w:bidi="ar"/>
        </w:rPr>
        <w:t>quando for o caso</w:t>
      </w:r>
      <w:r>
        <w:rPr>
          <w:rFonts w:ascii="Book Antiqua" w:hAnsi="Book Antiqua" w:eastAsia="Arial-ItalicMT" w:cs="Book Antiqua"/>
          <w:i/>
          <w:iCs/>
          <w:color w:val="000000"/>
          <w:sz w:val="22"/>
          <w:lang w:val="en-US" w:eastAsia="zh-CN" w:bidi="ar"/>
        </w:rPr>
        <w:t xml:space="preserve">; </w:t>
      </w:r>
    </w:p>
    <w:p>
      <w:pPr>
        <w:pStyle w:val="29"/>
        <w:widowControl w:val="0"/>
        <w:numPr>
          <w:ilvl w:val="1"/>
          <w:numId w:val="9"/>
        </w:numPr>
        <w:spacing w:before="0" w:after="120"/>
        <w:ind w:left="0" w:firstLine="0"/>
        <w:jc w:val="both"/>
        <w:rPr>
          <w:rFonts w:ascii="Book Antiqua" w:hAnsi="Book Antiqua"/>
          <w:sz w:val="22"/>
        </w:rPr>
      </w:pPr>
      <w:r>
        <w:rPr>
          <w:rFonts w:ascii="Book Antiqua" w:hAnsi="Book Antiqua"/>
          <w:sz w:val="22"/>
        </w:rPr>
        <w:t>Caso haja limitação de caracteres do sistema que impeça que o licitante informe todos os dados solicitados acima, recomenda-se que inclua um RESUMO DO OBJETO, citando em resumo os subitens incluídos (se for o caso) e acrescentando os dizeres “CONFORME O EDITAL” e, neste caso, para fins de recebimento do objeto, será considerado o detalhamento citado no Instrumento Convocatório e subentendido pela Administração que o proponente tem pleno conhecimento e atesta ser os mesmos serviços que prestará na execução contratual, sob sua inteira responsabilidade.</w:t>
      </w:r>
    </w:p>
    <w:p>
      <w:pPr>
        <w:pStyle w:val="29"/>
        <w:widowControl w:val="0"/>
        <w:numPr>
          <w:ilvl w:val="1"/>
          <w:numId w:val="9"/>
        </w:numPr>
        <w:spacing w:before="0" w:after="120"/>
        <w:ind w:left="0" w:firstLine="0"/>
        <w:jc w:val="both"/>
        <w:rPr>
          <w:rFonts w:ascii="Book Antiqua" w:hAnsi="Book Antiqua"/>
          <w:sz w:val="22"/>
        </w:rPr>
      </w:pPr>
      <w:r>
        <w:rPr>
          <w:rFonts w:ascii="Book Antiqua" w:hAnsi="Book Antiqua" w:eastAsia="STIX-Regular" w:cs="Book Antiqua"/>
          <w:color w:val="000000"/>
          <w:sz w:val="22"/>
          <w:lang w:val="en-US" w:eastAsia="zh-CN" w:bidi="ar"/>
        </w:rPr>
        <w:t xml:space="preserve">No caso de haver divergência entre a descrição do código </w:t>
      </w:r>
      <w:r>
        <w:rPr>
          <w:rFonts w:ascii="Book Antiqua" w:hAnsi="Book Antiqua" w:eastAsia="STIX-Regular" w:cs="Book Antiqua"/>
          <w:color w:val="000000"/>
          <w:sz w:val="22"/>
          <w:lang w:eastAsia="zh-CN" w:bidi="ar"/>
        </w:rPr>
        <w:t>C</w:t>
      </w:r>
      <w:r>
        <w:rPr>
          <w:rFonts w:ascii="Book Antiqua" w:hAnsi="Book Antiqua" w:eastAsia="STIX-Regular" w:cs="Book Antiqua"/>
          <w:color w:val="000000"/>
          <w:sz w:val="22"/>
          <w:lang w:val="en-US" w:eastAsia="zh-CN" w:bidi="ar"/>
        </w:rPr>
        <w:t>ATMAT/CATSER no aviso do COMPRASNET e o disposto nos Anexos deste edital (Especifificações), o licitante deverá obedecer ao que está disposto neste</w:t>
      </w:r>
      <w:r>
        <w:rPr>
          <w:rFonts w:ascii="Book Antiqua" w:hAnsi="Book Antiqua" w:eastAsia="STIX-Regular" w:cs="Book Antiqua"/>
          <w:color w:val="000000"/>
          <w:sz w:val="22"/>
          <w:lang w:eastAsia="zh-CN" w:bidi="ar"/>
        </w:rPr>
        <w:t xml:space="preserve"> Edital e seus</w:t>
      </w:r>
      <w:r>
        <w:rPr>
          <w:rFonts w:ascii="Book Antiqua" w:hAnsi="Book Antiqua" w:eastAsia="STIX-Regular" w:cs="Book Antiqua"/>
          <w:color w:val="000000"/>
          <w:sz w:val="22"/>
          <w:lang w:val="en-US" w:eastAsia="zh-CN" w:bidi="ar"/>
        </w:rPr>
        <w:t xml:space="preserve"> ANEXOS. </w:t>
      </w:r>
    </w:p>
    <w:p>
      <w:pPr>
        <w:pStyle w:val="29"/>
        <w:widowControl w:val="0"/>
        <w:numPr>
          <w:ilvl w:val="1"/>
          <w:numId w:val="9"/>
        </w:numPr>
        <w:spacing w:before="0" w:after="80"/>
        <w:ind w:left="0" w:firstLine="0"/>
        <w:jc w:val="both"/>
        <w:rPr>
          <w:rFonts w:ascii="Book Antiqua" w:hAnsi="Book Antiqua" w:cs="Book Antiqua"/>
          <w:sz w:val="22"/>
        </w:rPr>
      </w:pPr>
      <w:r>
        <w:rPr>
          <w:rFonts w:ascii="Book Antiqua" w:hAnsi="Book Antiqua"/>
          <w:sz w:val="22"/>
        </w:rPr>
        <w:t xml:space="preserve">As propostas registradas no endereço eletrônico </w:t>
      </w:r>
      <w:r>
        <w:rPr>
          <w:rFonts w:ascii="Book Antiqua" w:hAnsi="Book Antiqua"/>
          <w:b/>
          <w:color w:val="0000FF"/>
          <w:sz w:val="22"/>
          <w:u w:val="single"/>
        </w:rPr>
        <w:t>www.gov.br/compras</w:t>
      </w:r>
      <w:r>
        <w:rPr>
          <w:rFonts w:ascii="Book Antiqua" w:hAnsi="Book Antiqua"/>
          <w:b/>
          <w:sz w:val="22"/>
        </w:rPr>
        <w:t>,</w:t>
      </w:r>
      <w:r>
        <w:rPr>
          <w:rFonts w:ascii="Book Antiqua" w:hAnsi="Book Antiqua"/>
          <w:sz w:val="22"/>
        </w:rPr>
        <w:t xml:space="preserve"> </w:t>
      </w:r>
      <w:r>
        <w:rPr>
          <w:rFonts w:ascii="Book Antiqua" w:hAnsi="Book Antiqua"/>
          <w:b/>
          <w:sz w:val="22"/>
        </w:rPr>
        <w:t>NÃO DEVEM CONTER NENHUMA IDENTIFICAÇÃO DA EMPRESA PROPONENTE</w:t>
      </w:r>
      <w:r>
        <w:rPr>
          <w:rFonts w:ascii="Book Antiqua" w:hAnsi="Book Antiqua"/>
          <w:sz w:val="22"/>
        </w:rPr>
        <w:t xml:space="preserve">, visando atender o princípio da impessoalidade e preservar o sigilo das propostas. Em caso de identificação da licitante na proposta registrada, esta será </w:t>
      </w:r>
      <w:r>
        <w:rPr>
          <w:rFonts w:ascii="Book Antiqua" w:hAnsi="Book Antiqua"/>
          <w:b/>
          <w:sz w:val="22"/>
        </w:rPr>
        <w:t>DESCLASSIFICADA</w:t>
      </w:r>
      <w:r>
        <w:rPr>
          <w:rFonts w:ascii="Book Antiqua" w:hAnsi="Book Antiqua"/>
          <w:sz w:val="22"/>
        </w:rPr>
        <w:t xml:space="preserve"> pelo Pregoeiro.</w:t>
      </w:r>
    </w:p>
    <w:p>
      <w:pPr>
        <w:pStyle w:val="29"/>
        <w:widowControl w:val="0"/>
        <w:numPr>
          <w:ilvl w:val="1"/>
          <w:numId w:val="9"/>
        </w:numPr>
        <w:spacing w:before="0" w:after="80"/>
        <w:ind w:left="0" w:firstLine="0"/>
        <w:jc w:val="both"/>
        <w:rPr>
          <w:rFonts w:ascii="Book Antiqua" w:hAnsi="Book Antiqua"/>
          <w:bCs/>
          <w:sz w:val="22"/>
        </w:rPr>
      </w:pPr>
      <w:r>
        <w:rPr>
          <w:rFonts w:ascii="Book Antiqua" w:hAnsi="Book Antiqua" w:cs="Book Antiqua"/>
          <w:sz w:val="22"/>
        </w:rPr>
        <w:t>As especificações do objeto contidas na proposta vinculam a Contratada.</w:t>
      </w:r>
    </w:p>
    <w:p>
      <w:pPr>
        <w:pStyle w:val="29"/>
        <w:widowControl w:val="0"/>
        <w:numPr>
          <w:ilvl w:val="1"/>
          <w:numId w:val="9"/>
        </w:numPr>
        <w:spacing w:before="0" w:after="80"/>
        <w:ind w:left="0" w:firstLine="0"/>
        <w:jc w:val="both"/>
        <w:rPr>
          <w:rFonts w:ascii="Book Antiqua" w:hAnsi="Book Antiqua"/>
          <w:b/>
          <w:sz w:val="22"/>
        </w:rPr>
      </w:pPr>
      <w:r>
        <w:rPr>
          <w:rFonts w:ascii="Book Antiqua" w:hAnsi="Book Antiqua" w:cs="Book Antiqua"/>
          <w:sz w:val="22"/>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29"/>
        <w:widowControl w:val="0"/>
        <w:numPr>
          <w:ilvl w:val="1"/>
          <w:numId w:val="9"/>
        </w:numPr>
        <w:spacing w:before="0" w:after="80"/>
        <w:ind w:left="0" w:firstLine="0"/>
        <w:jc w:val="both"/>
        <w:rPr>
          <w:rFonts w:ascii="Book Antiqua" w:hAnsi="Book Antiqua"/>
          <w:b/>
          <w:sz w:val="22"/>
        </w:rPr>
      </w:pPr>
      <w:r>
        <w:rPr>
          <w:rFonts w:ascii="Book Antiqua" w:hAnsi="Book Antiqua" w:cs="Book Antiqua"/>
          <w:sz w:val="22"/>
        </w:rPr>
        <w:t>A proposta inserida, seus lances, bem como a proposta impressa protocolada será considerada pela Administração com validade mínima de 60 (sessenta) dias corridos, a contar da data de sua apresentação e caso não seja expressa ou</w:t>
      </w:r>
      <w:r>
        <w:rPr>
          <w:rFonts w:ascii="Book Antiqua" w:hAnsi="Book Antiqua"/>
          <w:sz w:val="22"/>
        </w:rPr>
        <w:t>tra validade pelo licitante, será considerado com anuência intrínseca do proponente.</w:t>
      </w:r>
    </w:p>
    <w:p>
      <w:pPr>
        <w:pStyle w:val="29"/>
        <w:widowControl w:val="0"/>
        <w:numPr>
          <w:ilvl w:val="1"/>
          <w:numId w:val="9"/>
        </w:numPr>
        <w:spacing w:before="0" w:after="80"/>
        <w:ind w:left="0" w:firstLine="0"/>
        <w:jc w:val="both"/>
        <w:rPr>
          <w:rFonts w:ascii="Book Antiqua" w:hAnsi="Book Antiqua"/>
          <w:b/>
          <w:sz w:val="22"/>
        </w:rPr>
      </w:pPr>
      <w:r>
        <w:rPr>
          <w:rFonts w:ascii="Book Antiqua" w:hAnsi="Book Antiqua"/>
          <w:sz w:val="22"/>
        </w:rPr>
        <w:t xml:space="preserve">O licitante deverá obedecer rigorosamente aos termos deste Edital e seus anexos. Em caso de discordância existente entre as especificações deste objeto ou quaisquer outras condições descritas </w:t>
      </w:r>
      <w:r>
        <w:rPr>
          <w:rFonts w:ascii="Book Antiqua" w:hAnsi="Book Antiqua"/>
          <w:b/>
          <w:sz w:val="22"/>
        </w:rPr>
        <w:t>no sistema COMPRASNET e as especificações constantes no MODELO DE CARTA PROPOSTA e EDITAL</w:t>
      </w:r>
      <w:r>
        <w:rPr>
          <w:rFonts w:ascii="Book Antiqua" w:hAnsi="Book Antiqua"/>
          <w:sz w:val="22"/>
        </w:rPr>
        <w:t>, prevalecerão às duas últimas.</w:t>
      </w:r>
    </w:p>
    <w:p>
      <w:pPr>
        <w:pStyle w:val="29"/>
        <w:widowControl w:val="0"/>
        <w:numPr>
          <w:ilvl w:val="1"/>
          <w:numId w:val="9"/>
        </w:numPr>
        <w:spacing w:before="0" w:after="80"/>
        <w:ind w:left="0" w:firstLine="0"/>
        <w:jc w:val="both"/>
        <w:rPr>
          <w:rFonts w:ascii="Book Antiqua" w:hAnsi="Book Antiqua"/>
          <w:b/>
          <w:sz w:val="22"/>
        </w:rPr>
      </w:pPr>
      <w:r>
        <w:rPr>
          <w:rFonts w:ascii="Book Antiqua" w:hAnsi="Book Antiqua"/>
          <w:sz w:val="22"/>
        </w:rPr>
        <w:t>Na Proposta de Preços registrada/inserida no sistema deverão estar incluídos todos os insumos que o compõem, tais como: despesas com mão-de-obra, materiais, equipamentos, impostos, taxas, fretes, descontos e quaisquer outros que incidam direta ou indiretamente na execução do objeto desta licitação, os quais deverão compor sua proposta.</w:t>
      </w:r>
    </w:p>
    <w:p>
      <w:pPr>
        <w:pStyle w:val="59"/>
        <w:widowControl w:val="0"/>
        <w:numPr>
          <w:ilvl w:val="0"/>
          <w:numId w:val="9"/>
        </w:numPr>
        <w:pBdr>
          <w:top w:val="single" w:color="auto" w:sz="4" w:space="1"/>
          <w:left w:val="single" w:color="auto" w:sz="4" w:space="4"/>
          <w:bottom w:val="single" w:color="auto" w:sz="4" w:space="1"/>
          <w:right w:val="single" w:color="auto" w:sz="4" w:space="4"/>
        </w:pBdr>
        <w:shd w:val="clear" w:color="auto" w:fill="D8D8D8" w:themeFill="background1" w:themeFillShade="D9"/>
        <w:snapToGrid/>
        <w:spacing w:after="120"/>
        <w:ind w:left="0" w:firstLine="0"/>
        <w:rPr>
          <w:rFonts w:ascii="Book Antiqua" w:hAnsi="Book Antiqua"/>
          <w:b/>
          <w:color w:val="0000FF"/>
          <w:sz w:val="22"/>
        </w:rPr>
      </w:pPr>
      <w:r>
        <w:rPr>
          <w:rFonts w:ascii="Book Antiqua" w:hAnsi="Book Antiqua"/>
          <w:b/>
          <w:color w:val="0000FF"/>
          <w:sz w:val="22"/>
        </w:rPr>
        <w:t>DO MODO DE DISPUTA;</w:t>
      </w:r>
    </w:p>
    <w:p>
      <w:pPr>
        <w:pStyle w:val="29"/>
        <w:widowControl w:val="0"/>
        <w:numPr>
          <w:ilvl w:val="1"/>
          <w:numId w:val="9"/>
        </w:numPr>
        <w:tabs>
          <w:tab w:val="left" w:pos="220"/>
          <w:tab w:val="clear" w:pos="720"/>
        </w:tabs>
        <w:spacing w:before="0" w:after="120"/>
        <w:ind w:left="0" w:firstLine="0"/>
        <w:jc w:val="both"/>
        <w:rPr>
          <w:rFonts w:ascii="Book Antiqua" w:hAnsi="Book Antiqua"/>
          <w:iCs/>
          <w:sz w:val="22"/>
        </w:rPr>
      </w:pPr>
      <w:r>
        <w:rPr>
          <w:rFonts w:ascii="Book Antiqua" w:hAnsi="Book Antiqua"/>
          <w:iCs/>
          <w:sz w:val="22"/>
        </w:rPr>
        <w:t xml:space="preserve">Será adotado </w:t>
      </w:r>
      <w:r>
        <w:rPr>
          <w:rFonts w:ascii="Book Antiqua" w:hAnsi="Book Antiqua"/>
          <w:sz w:val="22"/>
        </w:rPr>
        <w:t xml:space="preserve">para o envio de lances no pregão eletrônico o </w:t>
      </w:r>
      <w:r>
        <w:rPr>
          <w:rFonts w:ascii="Book Antiqua" w:hAnsi="Book Antiqua"/>
          <w:sz w:val="22"/>
          <w:highlight w:val="yellow"/>
        </w:rPr>
        <w:t>modo de disputa “</w:t>
      </w:r>
      <w:r>
        <w:rPr>
          <w:rFonts w:ascii="Book Antiqua" w:hAnsi="Book Antiqua"/>
          <w:b/>
          <w:bCs/>
          <w:sz w:val="22"/>
          <w:highlight w:val="yellow"/>
        </w:rPr>
        <w:t>aberto</w:t>
      </w:r>
      <w:r>
        <w:rPr>
          <w:rFonts w:ascii="Book Antiqua" w:hAnsi="Book Antiqua"/>
          <w:sz w:val="22"/>
          <w:highlight w:val="yellow"/>
        </w:rPr>
        <w:t>”</w:t>
      </w:r>
      <w:r>
        <w:rPr>
          <w:rFonts w:ascii="Book Antiqua" w:hAnsi="Book Antiqua"/>
          <w:sz w:val="22"/>
        </w:rPr>
        <w:t xml:space="preserve">, em que os </w:t>
      </w:r>
      <w:r>
        <w:rPr>
          <w:rFonts w:ascii="Book Antiqua" w:hAnsi="Book Antiqua"/>
          <w:iCs/>
          <w:sz w:val="22"/>
        </w:rPr>
        <w:t>licitantes</w:t>
      </w:r>
      <w:r>
        <w:rPr>
          <w:rFonts w:ascii="Book Antiqua" w:hAnsi="Book Antiqua"/>
          <w:sz w:val="22"/>
        </w:rPr>
        <w:t xml:space="preserve"> apresentarão lances públicos e sucessivos, com prorrogações.</w:t>
      </w:r>
    </w:p>
    <w:p>
      <w:pPr>
        <w:pStyle w:val="29"/>
        <w:widowControl w:val="0"/>
        <w:numPr>
          <w:ilvl w:val="1"/>
          <w:numId w:val="9"/>
        </w:numPr>
        <w:tabs>
          <w:tab w:val="left" w:pos="220"/>
          <w:tab w:val="clear" w:pos="720"/>
        </w:tabs>
        <w:spacing w:before="0" w:after="120"/>
        <w:ind w:left="0" w:firstLine="0"/>
        <w:jc w:val="both"/>
        <w:rPr>
          <w:rFonts w:ascii="Book Antiqua" w:hAnsi="Book Antiqua"/>
          <w:iCs/>
          <w:sz w:val="22"/>
        </w:rPr>
      </w:pPr>
      <w:r>
        <w:rPr>
          <w:rFonts w:ascii="Book Antiqua" w:hAnsi="Book Antiqua"/>
          <w:sz w:val="22"/>
        </w:rPr>
        <w:t>A etapa de lances da sessão pública terá duração de 10 (dez) minutos e, após isso, será prorrogada automaticamente pelo sistema quando houver lance ofertado nos últimos dois minutos do período de duração da sessão pública.</w:t>
      </w:r>
    </w:p>
    <w:p>
      <w:pPr>
        <w:pStyle w:val="29"/>
        <w:widowControl w:val="0"/>
        <w:numPr>
          <w:ilvl w:val="1"/>
          <w:numId w:val="9"/>
        </w:numPr>
        <w:tabs>
          <w:tab w:val="left" w:pos="220"/>
          <w:tab w:val="clear" w:pos="720"/>
        </w:tabs>
        <w:spacing w:before="0" w:after="120"/>
        <w:ind w:left="0" w:firstLine="0"/>
        <w:jc w:val="both"/>
        <w:rPr>
          <w:rFonts w:ascii="Book Antiqua" w:hAnsi="Book Antiqua"/>
          <w:b/>
          <w:sz w:val="22"/>
        </w:rPr>
      </w:pPr>
      <w:r>
        <w:rPr>
          <w:rFonts w:ascii="Book Antiqua" w:hAnsi="Book Antiqua"/>
          <w:sz w:val="22"/>
        </w:rPr>
        <w:t>A prorrogação automática da etapa de lances, de que trata o item anterior, será de 02 (dois) minutos e ocorrerá sucessivamente sempre que houver lances enviados nesse período de prorrogação, inclusive no caso de lances intermediários.</w:t>
      </w:r>
    </w:p>
    <w:p>
      <w:pPr>
        <w:pStyle w:val="29"/>
        <w:widowControl w:val="0"/>
        <w:numPr>
          <w:ilvl w:val="1"/>
          <w:numId w:val="9"/>
        </w:numPr>
        <w:tabs>
          <w:tab w:val="left" w:pos="220"/>
          <w:tab w:val="clear" w:pos="720"/>
        </w:tabs>
        <w:spacing w:before="0" w:after="120"/>
        <w:ind w:left="0" w:firstLine="0"/>
        <w:jc w:val="both"/>
        <w:rPr>
          <w:rFonts w:ascii="Book Antiqua" w:hAnsi="Book Antiqua"/>
          <w:b/>
          <w:sz w:val="22"/>
        </w:rPr>
      </w:pPr>
      <w:r>
        <w:rPr>
          <w:rFonts w:ascii="Book Antiqua" w:hAnsi="Book Antiqua"/>
          <w:sz w:val="22"/>
        </w:rPr>
        <w:t>Não havendo novos lances na forma estabelecida nos itens anteriores, a sessão pública encerrar-se-á automaticamente.</w:t>
      </w:r>
    </w:p>
    <w:p>
      <w:pPr>
        <w:pStyle w:val="29"/>
        <w:widowControl w:val="0"/>
        <w:numPr>
          <w:ilvl w:val="1"/>
          <w:numId w:val="9"/>
        </w:numPr>
        <w:tabs>
          <w:tab w:val="left" w:pos="220"/>
          <w:tab w:val="clear" w:pos="720"/>
        </w:tabs>
        <w:spacing w:before="0" w:after="120"/>
        <w:ind w:left="0" w:firstLine="0"/>
        <w:jc w:val="both"/>
        <w:rPr>
          <w:rFonts w:ascii="Book Antiqua" w:hAnsi="Book Antiqua"/>
          <w:b/>
          <w:sz w:val="22"/>
        </w:rPr>
      </w:pPr>
      <w:r>
        <w:rPr>
          <w:rFonts w:ascii="Book Antiqua" w:hAnsi="Book Antiqua"/>
          <w:sz w:val="22"/>
        </w:rPr>
        <w:t>Encerrada a fase competitiva sem que haja a prorrogação automática pelo sistema, poderá o pregoeiro, assessorado pela equipe de apoio, justificadamente, admitir o reinício da sessão pública de lances, em prol da consecução do melhor preço.</w:t>
      </w:r>
    </w:p>
    <w:p>
      <w:pPr>
        <w:pStyle w:val="83"/>
        <w:numPr>
          <w:ilvl w:val="0"/>
          <w:numId w:val="9"/>
        </w:numPr>
        <w:pBdr>
          <w:top w:val="single" w:color="auto" w:sz="4" w:space="1"/>
          <w:left w:val="single" w:color="auto" w:sz="4" w:space="4"/>
          <w:bottom w:val="single" w:color="auto" w:sz="4" w:space="1"/>
          <w:right w:val="single" w:color="auto" w:sz="4" w:space="4"/>
        </w:pBdr>
        <w:shd w:val="clear" w:color="auto" w:fill="D9D9D9"/>
        <w:spacing w:after="120"/>
        <w:ind w:left="0" w:firstLine="0"/>
        <w:jc w:val="both"/>
        <w:rPr>
          <w:rFonts w:ascii="Book Antiqua" w:hAnsi="Book Antiqua"/>
          <w:b/>
          <w:bCs/>
          <w:color w:val="0000FF"/>
          <w:sz w:val="22"/>
          <w:szCs w:val="22"/>
        </w:rPr>
      </w:pPr>
      <w:r>
        <w:rPr>
          <w:rFonts w:ascii="Book Antiqua" w:hAnsi="Book Antiqua"/>
          <w:b/>
          <w:bCs/>
          <w:color w:val="0000FF"/>
          <w:sz w:val="22"/>
          <w:szCs w:val="22"/>
        </w:rPr>
        <w:t>DA ABERTURA DA SESSÃO, CLASSIFICAÇÃO DAS PROPOSTAS, DA FORMULAÇÃO DE LANCES E CRITÉRIOS DE DESEMPATE;</w:t>
      </w:r>
    </w:p>
    <w:p>
      <w:pPr>
        <w:keepNext w:val="0"/>
        <w:keepLines w:val="0"/>
        <w:pageBreakBefore w:val="0"/>
        <w:widowControl/>
        <w:numPr>
          <w:ilvl w:val="1"/>
          <w:numId w:val="9"/>
        </w:numPr>
        <w:tabs>
          <w:tab w:val="left" w:pos="220"/>
          <w:tab w:val="clear" w:pos="720"/>
        </w:tabs>
        <w:kinsoku/>
        <w:wordWrap/>
        <w:overflowPunct/>
        <w:topLinePunct w:val="0"/>
        <w:autoSpaceDE/>
        <w:autoSpaceDN/>
        <w:bidi w:val="0"/>
        <w:adjustRightInd/>
        <w:snapToGrid/>
        <w:spacing w:after="80"/>
        <w:ind w:left="0" w:firstLine="0"/>
        <w:jc w:val="both"/>
        <w:textAlignment w:val="auto"/>
        <w:rPr>
          <w:rFonts w:ascii="Book Antiqua" w:hAnsi="Book Antiqua" w:cs="Arial"/>
          <w:b/>
        </w:rPr>
      </w:pPr>
      <w:r>
        <w:rPr>
          <w:rFonts w:ascii="Book Antiqua" w:hAnsi="Book Antiqua" w:cs="Arial"/>
        </w:rPr>
        <w:t xml:space="preserve">A partir das </w:t>
      </w:r>
      <w:r>
        <w:rPr>
          <w:rFonts w:ascii="Book Antiqua" w:hAnsi="Book Antiqua" w:cs="Arial"/>
          <w:b/>
          <w:highlight w:val="yellow"/>
        </w:rPr>
        <w:t>09h</w:t>
      </w:r>
      <w:r>
        <w:rPr>
          <w:rFonts w:hint="default" w:ascii="Book Antiqua" w:hAnsi="Book Antiqua" w:cs="Arial"/>
          <w:b/>
          <w:highlight w:val="yellow"/>
          <w:lang w:val="pt-BR"/>
        </w:rPr>
        <w:t>3</w:t>
      </w:r>
      <w:r>
        <w:rPr>
          <w:rFonts w:ascii="Book Antiqua" w:hAnsi="Book Antiqua" w:cs="Arial"/>
          <w:b/>
          <w:highlight w:val="yellow"/>
        </w:rPr>
        <w:t xml:space="preserve">0min. (Brasília), do dia </w:t>
      </w:r>
      <w:r>
        <w:rPr>
          <w:rFonts w:hint="default" w:ascii="Book Antiqua" w:hAnsi="Book Antiqua" w:cs="Arial"/>
          <w:b/>
          <w:highlight w:val="yellow"/>
          <w:lang w:val="pt-BR"/>
        </w:rPr>
        <w:t>xx</w:t>
      </w:r>
      <w:r>
        <w:rPr>
          <w:rFonts w:ascii="Book Antiqua" w:hAnsi="Book Antiqua" w:cs="Arial"/>
          <w:b/>
          <w:highlight w:val="yellow"/>
        </w:rPr>
        <w:t xml:space="preserve"> de </w:t>
      </w:r>
      <w:r>
        <w:rPr>
          <w:rFonts w:hint="default" w:ascii="Book Antiqua" w:hAnsi="Book Antiqua" w:cs="Arial"/>
          <w:b/>
          <w:highlight w:val="yellow"/>
          <w:lang w:val="pt-BR"/>
        </w:rPr>
        <w:t>xxxx</w:t>
      </w:r>
      <w:r>
        <w:rPr>
          <w:rFonts w:ascii="Book Antiqua" w:hAnsi="Book Antiqua" w:cs="Arial"/>
          <w:b/>
          <w:highlight w:val="yellow"/>
        </w:rPr>
        <w:t xml:space="preserve"> de 202</w:t>
      </w:r>
      <w:r>
        <w:rPr>
          <w:rFonts w:hint="default" w:ascii="Book Antiqua" w:hAnsi="Book Antiqua" w:cs="Arial"/>
          <w:b/>
          <w:highlight w:val="yellow"/>
          <w:lang w:val="pt-BR"/>
        </w:rPr>
        <w:t>2</w:t>
      </w:r>
      <w:r>
        <w:rPr>
          <w:rFonts w:ascii="Book Antiqua" w:hAnsi="Book Antiqua" w:cs="Arial"/>
        </w:rPr>
        <w:t xml:space="preserve"> </w:t>
      </w:r>
      <w:r>
        <w:rPr>
          <w:rFonts w:ascii="Book Antiqua" w:hAnsi="Book Antiqua" w:cs="Arial"/>
          <w:bCs/>
        </w:rPr>
        <w:t>e de conformidade com o estabelecido neste Edital, terá início a sessão pública do presente Pregão Eletrônico.</w:t>
      </w:r>
    </w:p>
    <w:p>
      <w:pPr>
        <w:keepNext w:val="0"/>
        <w:keepLines w:val="0"/>
        <w:pageBreakBefore w:val="0"/>
        <w:widowControl/>
        <w:numPr>
          <w:ilvl w:val="1"/>
          <w:numId w:val="9"/>
        </w:numPr>
        <w:tabs>
          <w:tab w:val="left" w:pos="0"/>
          <w:tab w:val="clear" w:pos="720"/>
        </w:tabs>
        <w:kinsoku/>
        <w:wordWrap/>
        <w:overflowPunct/>
        <w:topLinePunct w:val="0"/>
        <w:autoSpaceDE/>
        <w:autoSpaceDN/>
        <w:bidi w:val="0"/>
        <w:adjustRightInd/>
        <w:snapToGrid/>
        <w:spacing w:after="80"/>
        <w:ind w:left="0" w:firstLine="0"/>
        <w:jc w:val="both"/>
        <w:textAlignment w:val="auto"/>
        <w:rPr>
          <w:rFonts w:ascii="Book Antiqua" w:hAnsi="Book Antiqua"/>
          <w:color w:val="000000"/>
          <w:lang w:eastAsia="en-US"/>
        </w:rPr>
      </w:pPr>
      <w:r>
        <w:rPr>
          <w:rFonts w:ascii="Book Antiqua" w:hAnsi="Book Antiqua" w:cs="Arial"/>
        </w:rPr>
        <w:t xml:space="preserve">O pregoeiro poderá suspender a sessão para visualizar e analisar, preliminarmente, a proposta ofertada que se encontra inserida no campo “DESCRIÇÃO DETALHADA DO OBJETO” do sistema, confrontando suas características com as exigências do Edital e seus anexos </w:t>
      </w:r>
      <w:r>
        <w:rPr>
          <w:rFonts w:ascii="Book Antiqua" w:hAnsi="Book Antiqua" w:cs="Arial"/>
          <w:b/>
        </w:rPr>
        <w:t>(podendo, ainda, ser analisado pelo órgão requerente),</w:t>
      </w:r>
      <w:r>
        <w:rPr>
          <w:rFonts w:ascii="Book Antiqua" w:hAnsi="Book Antiqua" w:cs="Arial"/>
        </w:rPr>
        <w:t xml:space="preserve"> DESCLASSIFICANDO, motivadamente, aquelas que não estejam em conformidade, que forem </w:t>
      </w:r>
      <w:r>
        <w:rPr>
          <w:rFonts w:ascii="Book Antiqua" w:hAnsi="Book Antiqua" w:cs="Arial"/>
          <w:snapToGrid w:val="0"/>
        </w:rPr>
        <w:t>omissas ou apresentarem irregularidades insanáveis.</w:t>
      </w:r>
    </w:p>
    <w:p>
      <w:pPr>
        <w:keepNext w:val="0"/>
        <w:keepLines w:val="0"/>
        <w:pageBreakBefore w:val="0"/>
        <w:widowControl/>
        <w:numPr>
          <w:ilvl w:val="2"/>
          <w:numId w:val="9"/>
        </w:numPr>
        <w:tabs>
          <w:tab w:val="left" w:pos="0"/>
          <w:tab w:val="clear" w:pos="1288"/>
        </w:tabs>
        <w:kinsoku/>
        <w:wordWrap/>
        <w:overflowPunct/>
        <w:topLinePunct w:val="0"/>
        <w:autoSpaceDE/>
        <w:autoSpaceDN/>
        <w:bidi w:val="0"/>
        <w:adjustRightInd/>
        <w:snapToGrid/>
        <w:spacing w:after="80"/>
        <w:ind w:left="660" w:firstLine="0"/>
        <w:jc w:val="both"/>
        <w:textAlignment w:val="auto"/>
        <w:rPr>
          <w:rFonts w:ascii="Book Antiqua" w:hAnsi="Book Antiqua"/>
          <w:color w:val="000000"/>
          <w:lang w:eastAsia="en-US"/>
        </w:rPr>
      </w:pPr>
      <w:r>
        <w:rPr>
          <w:rFonts w:ascii="Book Antiqua" w:hAnsi="Book Antiqua"/>
          <w:color w:val="000000"/>
        </w:rPr>
        <w:t>A desclassificação será sempre fundamentada e registrada no sistema, com acompanhamento em tempo real por todos os participantes.</w:t>
      </w:r>
    </w:p>
    <w:p>
      <w:pPr>
        <w:keepNext w:val="0"/>
        <w:keepLines w:val="0"/>
        <w:pageBreakBefore w:val="0"/>
        <w:widowControl/>
        <w:numPr>
          <w:ilvl w:val="2"/>
          <w:numId w:val="9"/>
        </w:numPr>
        <w:tabs>
          <w:tab w:val="left" w:pos="0"/>
          <w:tab w:val="clear" w:pos="1288"/>
        </w:tabs>
        <w:kinsoku/>
        <w:wordWrap/>
        <w:overflowPunct/>
        <w:topLinePunct w:val="0"/>
        <w:autoSpaceDE/>
        <w:autoSpaceDN/>
        <w:bidi w:val="0"/>
        <w:adjustRightInd/>
        <w:snapToGrid/>
        <w:spacing w:after="80"/>
        <w:ind w:left="660" w:firstLine="0"/>
        <w:jc w:val="both"/>
        <w:textAlignment w:val="auto"/>
        <w:rPr>
          <w:rFonts w:ascii="Book Antiqua" w:hAnsi="Book Antiqua"/>
          <w:b/>
        </w:rPr>
      </w:pPr>
      <w:r>
        <w:rPr>
          <w:rFonts w:ascii="Book Antiqua" w:hAnsi="Book Antiqua"/>
          <w:color w:val="000000"/>
        </w:rPr>
        <w:t>A não desclassificação da proposta não impede o seu julgamento definitivo em sentido contrário, levado a efeito na fase de aceitação.</w:t>
      </w:r>
    </w:p>
    <w:p>
      <w:pPr>
        <w:keepNext w:val="0"/>
        <w:keepLines w:val="0"/>
        <w:pageBreakBefore w:val="0"/>
        <w:widowControl/>
        <w:numPr>
          <w:ilvl w:val="1"/>
          <w:numId w:val="9"/>
        </w:numPr>
        <w:tabs>
          <w:tab w:val="left" w:pos="0"/>
          <w:tab w:val="clear" w:pos="720"/>
        </w:tabs>
        <w:kinsoku/>
        <w:wordWrap/>
        <w:overflowPunct/>
        <w:topLinePunct w:val="0"/>
        <w:autoSpaceDE/>
        <w:autoSpaceDN/>
        <w:bidi w:val="0"/>
        <w:adjustRightInd/>
        <w:snapToGrid/>
        <w:spacing w:after="80"/>
        <w:ind w:left="0" w:firstLine="0"/>
        <w:jc w:val="both"/>
        <w:textAlignment w:val="auto"/>
        <w:rPr>
          <w:rFonts w:ascii="Book Antiqua" w:hAnsi="Book Antiqua"/>
          <w:b/>
        </w:rPr>
      </w:pPr>
      <w:r>
        <w:rPr>
          <w:rFonts w:ascii="Book Antiqua" w:hAnsi="Book Antiqua"/>
        </w:rPr>
        <w:t xml:space="preserve">Constatada a existência de proposta incompatível com o objeto licitado ou manifestadamente inexequível, o pregoeiro obrigatoriamente justificará, por meio do sistema, e então </w:t>
      </w:r>
      <w:r>
        <w:rPr>
          <w:rFonts w:ascii="Book Antiqua" w:hAnsi="Book Antiqua"/>
          <w:b/>
        </w:rPr>
        <w:t>DESCLASSIFICARÁ a proposta</w:t>
      </w:r>
      <w:r>
        <w:rPr>
          <w:rFonts w:ascii="Book Antiqua" w:hAnsi="Book Antiqua"/>
        </w:rPr>
        <w:t>.</w:t>
      </w:r>
    </w:p>
    <w:p>
      <w:pPr>
        <w:keepNext w:val="0"/>
        <w:keepLines w:val="0"/>
        <w:pageBreakBefore w:val="0"/>
        <w:widowControl/>
        <w:numPr>
          <w:ilvl w:val="2"/>
          <w:numId w:val="9"/>
        </w:numPr>
        <w:tabs>
          <w:tab w:val="left" w:pos="0"/>
          <w:tab w:val="clear" w:pos="1288"/>
        </w:tabs>
        <w:kinsoku/>
        <w:wordWrap/>
        <w:overflowPunct/>
        <w:topLinePunct w:val="0"/>
        <w:autoSpaceDE/>
        <w:autoSpaceDN/>
        <w:bidi w:val="0"/>
        <w:adjustRightInd/>
        <w:snapToGrid/>
        <w:spacing w:after="80"/>
        <w:ind w:left="660" w:firstLine="0"/>
        <w:jc w:val="both"/>
        <w:textAlignment w:val="auto"/>
        <w:rPr>
          <w:rFonts w:ascii="Book Antiqua" w:hAnsi="Book Antiqua"/>
          <w:b/>
        </w:rPr>
      </w:pPr>
      <w:r>
        <w:rPr>
          <w:rFonts w:ascii="Book Antiqua" w:hAnsi="Book Antiqua"/>
        </w:rPr>
        <w:t xml:space="preserve">O </w:t>
      </w:r>
      <w:r>
        <w:rPr>
          <w:rFonts w:ascii="Book Antiqua" w:hAnsi="Book Antiqua"/>
          <w:color w:val="000000"/>
        </w:rPr>
        <w:t>proponente que encaminhar o valor inicial de sua proposta manifestadamente inexequível, caso o mesmo não honre a oferta encaminhada, terá sua proposta rejeitada na fase de aceitabilidade.</w:t>
      </w:r>
    </w:p>
    <w:p>
      <w:pPr>
        <w:keepNext w:val="0"/>
        <w:keepLines w:val="0"/>
        <w:pageBreakBefore w:val="0"/>
        <w:widowControl/>
        <w:numPr>
          <w:ilvl w:val="2"/>
          <w:numId w:val="9"/>
        </w:numPr>
        <w:tabs>
          <w:tab w:val="left" w:pos="0"/>
          <w:tab w:val="clear" w:pos="1288"/>
        </w:tabs>
        <w:kinsoku/>
        <w:wordWrap/>
        <w:overflowPunct/>
        <w:topLinePunct w:val="0"/>
        <w:autoSpaceDE/>
        <w:autoSpaceDN/>
        <w:bidi w:val="0"/>
        <w:adjustRightInd/>
        <w:snapToGrid/>
        <w:spacing w:after="80"/>
        <w:ind w:left="660" w:firstLine="0"/>
        <w:jc w:val="both"/>
        <w:textAlignment w:val="auto"/>
        <w:rPr>
          <w:rFonts w:ascii="Book Antiqua" w:hAnsi="Book Antiqua"/>
          <w:b/>
        </w:rPr>
      </w:pPr>
      <w:r>
        <w:rPr>
          <w:rFonts w:ascii="Book Antiqua" w:hAnsi="Book Antiqua"/>
          <w:iCs/>
          <w:color w:val="000000"/>
        </w:rPr>
        <w:t>Se houver indícios de inexequibilidade da proposta de preço, será oportunizado ao licitante o Princípio do Contraditório e da Ampla Defesa, para que querendo esclareça a composição do preço da sua proposta, ou em caso da necessidade de esclarecimentos complementares, poderão ser efetuadas diligências, na forma do § 3° do artigo 43 da Lei Federal n° 8.666/93.</w:t>
      </w:r>
    </w:p>
    <w:p>
      <w:pPr>
        <w:keepNext w:val="0"/>
        <w:keepLines w:val="0"/>
        <w:pageBreakBefore w:val="0"/>
        <w:widowControl/>
        <w:numPr>
          <w:ilvl w:val="2"/>
          <w:numId w:val="9"/>
        </w:numPr>
        <w:tabs>
          <w:tab w:val="left" w:pos="0"/>
          <w:tab w:val="clear" w:pos="1288"/>
        </w:tabs>
        <w:kinsoku/>
        <w:wordWrap/>
        <w:overflowPunct/>
        <w:topLinePunct w:val="0"/>
        <w:autoSpaceDE/>
        <w:autoSpaceDN/>
        <w:bidi w:val="0"/>
        <w:adjustRightInd/>
        <w:snapToGrid/>
        <w:spacing w:after="80"/>
        <w:ind w:left="660" w:firstLine="0"/>
        <w:jc w:val="both"/>
        <w:textAlignment w:val="auto"/>
        <w:rPr>
          <w:rFonts w:ascii="Book Antiqua" w:hAnsi="Book Antiqua"/>
          <w:color w:val="000000"/>
        </w:rPr>
      </w:pPr>
      <w:r>
        <w:rPr>
          <w:rFonts w:ascii="Book Antiqua" w:hAnsi="Book Antiqua"/>
        </w:rPr>
        <w:t>A proposta de preços será considerada manifestamente inexequível, conforme previsto no art. 48, inciso II, da Lei 8.666/93.</w:t>
      </w:r>
    </w:p>
    <w:p>
      <w:pPr>
        <w:keepNext w:val="0"/>
        <w:keepLines w:val="0"/>
        <w:pageBreakBefore w:val="0"/>
        <w:widowControl/>
        <w:numPr>
          <w:ilvl w:val="1"/>
          <w:numId w:val="9"/>
        </w:numPr>
        <w:tabs>
          <w:tab w:val="left" w:pos="0"/>
          <w:tab w:val="clear" w:pos="720"/>
        </w:tabs>
        <w:kinsoku/>
        <w:wordWrap/>
        <w:overflowPunct/>
        <w:topLinePunct w:val="0"/>
        <w:autoSpaceDE/>
        <w:autoSpaceDN/>
        <w:bidi w:val="0"/>
        <w:adjustRightInd/>
        <w:snapToGrid/>
        <w:spacing w:after="80"/>
        <w:ind w:left="0" w:firstLine="0"/>
        <w:jc w:val="both"/>
        <w:textAlignment w:val="auto"/>
        <w:rPr>
          <w:rFonts w:ascii="Book Antiqua" w:hAnsi="Book Antiqua"/>
          <w:b/>
        </w:rPr>
      </w:pPr>
      <w:r>
        <w:rPr>
          <w:rFonts w:ascii="Book Antiqua" w:hAnsi="Book Antiqua"/>
          <w:color w:val="000000"/>
        </w:rPr>
        <w:t>O sistema ordenará automaticamente as propostas classificadas, sendo que somente estas participarão da fase de lances.</w:t>
      </w:r>
    </w:p>
    <w:p>
      <w:pPr>
        <w:keepNext w:val="0"/>
        <w:keepLines w:val="0"/>
        <w:pageBreakBefore w:val="0"/>
        <w:widowControl/>
        <w:numPr>
          <w:ilvl w:val="1"/>
          <w:numId w:val="9"/>
        </w:numPr>
        <w:tabs>
          <w:tab w:val="left" w:pos="0"/>
          <w:tab w:val="clear" w:pos="720"/>
        </w:tabs>
        <w:kinsoku/>
        <w:wordWrap/>
        <w:overflowPunct/>
        <w:topLinePunct w:val="0"/>
        <w:autoSpaceDE/>
        <w:autoSpaceDN/>
        <w:bidi w:val="0"/>
        <w:adjustRightInd/>
        <w:snapToGrid/>
        <w:spacing w:after="80"/>
        <w:ind w:left="0" w:firstLine="0"/>
        <w:jc w:val="both"/>
        <w:textAlignment w:val="auto"/>
        <w:rPr>
          <w:rFonts w:ascii="Book Antiqua" w:hAnsi="Book Antiqua"/>
          <w:b/>
        </w:rPr>
      </w:pPr>
      <w:r>
        <w:rPr>
          <w:rFonts w:ascii="Book Antiqua" w:hAnsi="Book Antiqua"/>
        </w:rPr>
        <w:t xml:space="preserve">Em seguida ocorrerá o início da etapa de lances, via Internet, única e exclusivamente, no </w:t>
      </w:r>
      <w:r>
        <w:rPr>
          <w:rFonts w:ascii="Book Antiqua" w:hAnsi="Book Antiqua"/>
          <w:iCs/>
        </w:rPr>
        <w:t xml:space="preserve">site </w:t>
      </w:r>
      <w:r>
        <w:fldChar w:fldCharType="begin"/>
      </w:r>
      <w:r>
        <w:instrText xml:space="preserve"> HYPERLINK "http://www.comprasnet.gov.br" </w:instrText>
      </w:r>
      <w:r>
        <w:fldChar w:fldCharType="separate"/>
      </w:r>
      <w:r>
        <w:rPr>
          <w:rStyle w:val="19"/>
          <w:rFonts w:ascii="Book Antiqua" w:hAnsi="Book Antiqua"/>
          <w:b/>
          <w:bCs/>
        </w:rPr>
        <w:t>www.gov.br</w:t>
      </w:r>
      <w:r>
        <w:rPr>
          <w:rStyle w:val="19"/>
          <w:rFonts w:ascii="Book Antiqua" w:hAnsi="Book Antiqua"/>
          <w:b/>
          <w:bCs/>
        </w:rPr>
        <w:fldChar w:fldCharType="end"/>
      </w:r>
      <w:r>
        <w:rPr>
          <w:rStyle w:val="19"/>
          <w:rFonts w:ascii="Book Antiqua" w:hAnsi="Book Antiqua"/>
          <w:b/>
          <w:bCs/>
        </w:rPr>
        <w:t>/compras</w:t>
      </w:r>
      <w:r>
        <w:rPr>
          <w:rFonts w:ascii="Book Antiqua" w:hAnsi="Book Antiqua"/>
        </w:rPr>
        <w:t>, conforme Edital.</w:t>
      </w:r>
    </w:p>
    <w:p>
      <w:pPr>
        <w:keepNext w:val="0"/>
        <w:keepLines w:val="0"/>
        <w:pageBreakBefore w:val="0"/>
        <w:widowControl/>
        <w:numPr>
          <w:ilvl w:val="1"/>
          <w:numId w:val="9"/>
        </w:numPr>
        <w:tabs>
          <w:tab w:val="left" w:pos="0"/>
          <w:tab w:val="clear" w:pos="720"/>
        </w:tabs>
        <w:kinsoku/>
        <w:wordWrap/>
        <w:overflowPunct/>
        <w:topLinePunct w:val="0"/>
        <w:autoSpaceDE/>
        <w:autoSpaceDN/>
        <w:bidi w:val="0"/>
        <w:adjustRightInd/>
        <w:snapToGrid/>
        <w:spacing w:after="80"/>
        <w:ind w:left="0" w:firstLine="0"/>
        <w:jc w:val="both"/>
        <w:textAlignment w:val="auto"/>
        <w:rPr>
          <w:rFonts w:ascii="Book Antiqua" w:hAnsi="Book Antiqua"/>
          <w:b/>
        </w:rPr>
      </w:pPr>
      <w:r>
        <w:rPr>
          <w:rFonts w:ascii="Book Antiqua" w:hAnsi="Book Antiqua"/>
        </w:rPr>
        <w:t xml:space="preserve">Todas as licitantes poderão apresentar lances para os </w:t>
      </w:r>
      <w:r>
        <w:rPr>
          <w:rFonts w:ascii="Book Antiqua" w:hAnsi="Book Antiqua"/>
          <w:b/>
        </w:rPr>
        <w:t xml:space="preserve">ITENS </w:t>
      </w:r>
      <w:r>
        <w:rPr>
          <w:rFonts w:ascii="Book Antiqua" w:hAnsi="Book Antiqua"/>
        </w:rPr>
        <w:t>cotados, exclusivamente por meio do Sistema Eletrônico, sendo o licitante imediatamente informado do seu recebimento e respectivo horário de registro e valor.</w:t>
      </w:r>
    </w:p>
    <w:p>
      <w:pPr>
        <w:keepNext w:val="0"/>
        <w:keepLines w:val="0"/>
        <w:pageBreakBefore w:val="0"/>
        <w:widowControl/>
        <w:numPr>
          <w:ilvl w:val="2"/>
          <w:numId w:val="9"/>
        </w:numPr>
        <w:tabs>
          <w:tab w:val="left" w:pos="0"/>
          <w:tab w:val="left" w:pos="1760"/>
          <w:tab w:val="clear" w:pos="1288"/>
        </w:tabs>
        <w:kinsoku/>
        <w:wordWrap/>
        <w:overflowPunct/>
        <w:topLinePunct w:val="0"/>
        <w:autoSpaceDE/>
        <w:autoSpaceDN/>
        <w:bidi w:val="0"/>
        <w:adjustRightInd/>
        <w:snapToGrid/>
        <w:spacing w:after="80"/>
        <w:ind w:left="880" w:firstLine="0"/>
        <w:jc w:val="both"/>
        <w:textAlignment w:val="auto"/>
        <w:rPr>
          <w:rFonts w:ascii="Book Antiqua" w:hAnsi="Book Antiqua"/>
          <w:b/>
        </w:rPr>
      </w:pPr>
      <w:r>
        <w:rPr>
          <w:rFonts w:ascii="Book Antiqua" w:hAnsi="Book Antiqua"/>
          <w:color w:val="000000"/>
        </w:rPr>
        <w:t>Assim como será lançado na proposta de preços, que deverá conter o menor preço ofertado pelo valor total do item, os lances serão ofertados observando-se as seguintes condições:</w:t>
      </w:r>
    </w:p>
    <w:p>
      <w:pPr>
        <w:keepNext w:val="0"/>
        <w:keepLines w:val="0"/>
        <w:pageBreakBefore w:val="0"/>
        <w:widowControl/>
        <w:numPr>
          <w:ilvl w:val="2"/>
          <w:numId w:val="9"/>
        </w:numPr>
        <w:tabs>
          <w:tab w:val="left" w:pos="0"/>
          <w:tab w:val="left" w:pos="1760"/>
          <w:tab w:val="clear" w:pos="1288"/>
        </w:tabs>
        <w:kinsoku/>
        <w:wordWrap/>
        <w:overflowPunct/>
        <w:topLinePunct w:val="0"/>
        <w:autoSpaceDE/>
        <w:autoSpaceDN/>
        <w:bidi w:val="0"/>
        <w:adjustRightInd/>
        <w:snapToGrid/>
        <w:spacing w:after="80"/>
        <w:ind w:left="880" w:firstLine="0"/>
        <w:jc w:val="both"/>
        <w:textAlignment w:val="auto"/>
        <w:rPr>
          <w:rFonts w:ascii="Book Antiqua" w:hAnsi="Book Antiqua"/>
          <w:b/>
        </w:rPr>
      </w:pPr>
      <w:r>
        <w:rPr>
          <w:rFonts w:ascii="Book Antiqua" w:hAnsi="Book Antiqua"/>
          <w:b/>
          <w:u w:val="single"/>
        </w:rPr>
        <w:t xml:space="preserve">Serão aceitos somente lances em moeda corrente nacional (R$), com VALORES UNITÁRIOS E TOTAIS com no máximo 02 (duas) casas decimais, considerando as quantidades constantes no ANEXO I – TERMO DE REFERÊNCIA. </w:t>
      </w:r>
      <w:r>
        <w:rPr>
          <w:rFonts w:ascii="Book Antiqua" w:hAnsi="Book Antiqua"/>
          <w:b/>
          <w:color w:val="000000"/>
          <w:spacing w:val="2"/>
          <w:u w:val="single"/>
        </w:rPr>
        <w:t>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pPr>
        <w:keepNext w:val="0"/>
        <w:keepLines w:val="0"/>
        <w:pageBreakBefore w:val="0"/>
        <w:numPr>
          <w:ilvl w:val="1"/>
          <w:numId w:val="9"/>
        </w:numPr>
        <w:tabs>
          <w:tab w:val="left" w:pos="0"/>
          <w:tab w:val="clear" w:pos="720"/>
        </w:tabs>
        <w:kinsoku/>
        <w:wordWrap/>
        <w:overflowPunct/>
        <w:topLinePunct w:val="0"/>
        <w:autoSpaceDE/>
        <w:autoSpaceDN/>
        <w:bidi w:val="0"/>
        <w:adjustRightInd/>
        <w:snapToGrid/>
        <w:spacing w:after="120"/>
        <w:ind w:left="0" w:firstLine="0"/>
        <w:jc w:val="both"/>
        <w:textAlignment w:val="auto"/>
        <w:rPr>
          <w:rFonts w:ascii="Book Antiqua" w:hAnsi="Book Antiqua"/>
          <w:b/>
          <w:bCs/>
          <w:color w:val="000000"/>
        </w:rPr>
      </w:pPr>
      <w:r>
        <w:rPr>
          <w:rFonts w:ascii="Book Antiqua" w:hAnsi="Book Antiqua"/>
        </w:rPr>
        <w:t>As licitantes poderão oferecer lances menores e sucessivos, observado o horário fixado e as regras de sua aceitação;</w:t>
      </w:r>
    </w:p>
    <w:p>
      <w:pPr>
        <w:keepNext w:val="0"/>
        <w:keepLines w:val="0"/>
        <w:pageBreakBefore w:val="0"/>
        <w:numPr>
          <w:ilvl w:val="2"/>
          <w:numId w:val="9"/>
        </w:numPr>
        <w:tabs>
          <w:tab w:val="left" w:pos="440"/>
          <w:tab w:val="clear" w:pos="1288"/>
        </w:tabs>
        <w:kinsoku/>
        <w:wordWrap/>
        <w:overflowPunct/>
        <w:topLinePunct w:val="0"/>
        <w:autoSpaceDE/>
        <w:autoSpaceDN/>
        <w:bidi w:val="0"/>
        <w:adjustRightInd/>
        <w:snapToGrid/>
        <w:spacing w:after="120"/>
        <w:ind w:left="660" w:firstLine="0"/>
        <w:jc w:val="both"/>
        <w:textAlignment w:val="auto"/>
        <w:rPr>
          <w:rFonts w:ascii="Book Antiqua" w:hAnsi="Book Antiqua"/>
          <w:b/>
        </w:rPr>
      </w:pPr>
      <w:r>
        <w:rPr>
          <w:rFonts w:ascii="Book Antiqua" w:hAnsi="Book Antiqua"/>
          <w:b/>
          <w:bCs/>
          <w:color w:val="000000"/>
          <w:highlight w:val="yellow"/>
        </w:rPr>
        <w:t xml:space="preserve">O intervalo mínimo de diferença de valores entre os lances, que incidirá tanto em relação aos lances intermediários quanto em relação à proposta que cobrir a melhor oferta deverá ser </w:t>
      </w:r>
      <w:r>
        <w:rPr>
          <w:rFonts w:ascii="Book Antiqua" w:hAnsi="Book Antiqua"/>
          <w:b/>
          <w:bCs/>
          <w:color w:val="000000"/>
          <w:highlight w:val="yellow"/>
          <w:u w:val="single"/>
        </w:rPr>
        <w:t xml:space="preserve">R$ </w:t>
      </w:r>
      <w:r>
        <w:rPr>
          <w:rFonts w:hint="default" w:ascii="Book Antiqua" w:hAnsi="Book Antiqua"/>
          <w:b/>
          <w:bCs/>
          <w:color w:val="000000"/>
          <w:highlight w:val="yellow"/>
          <w:u w:val="single"/>
          <w:shd w:val="clear" w:color="auto" w:fill="000000"/>
          <w:lang w:val="pt-BR"/>
        </w:rPr>
        <w:t>10</w:t>
      </w:r>
      <w:r>
        <w:rPr>
          <w:rFonts w:ascii="Book Antiqua" w:hAnsi="Book Antiqua"/>
          <w:b/>
          <w:bCs/>
          <w:color w:val="000000"/>
          <w:highlight w:val="yellow"/>
          <w:u w:val="single"/>
          <w:shd w:val="clear" w:color="auto" w:fill="000000"/>
        </w:rPr>
        <w:t>,00 (</w:t>
      </w:r>
      <w:r>
        <w:rPr>
          <w:rFonts w:hint="default" w:ascii="Book Antiqua" w:hAnsi="Book Antiqua"/>
          <w:b/>
          <w:bCs/>
          <w:color w:val="000000"/>
          <w:highlight w:val="yellow"/>
          <w:u w:val="single"/>
          <w:shd w:val="clear" w:color="auto" w:fill="000000"/>
          <w:lang w:val="pt-BR"/>
        </w:rPr>
        <w:t>Dez</w:t>
      </w:r>
      <w:r>
        <w:rPr>
          <w:rFonts w:ascii="Book Antiqua" w:hAnsi="Book Antiqua"/>
          <w:b/>
          <w:bCs/>
          <w:color w:val="000000"/>
          <w:highlight w:val="yellow"/>
          <w:u w:val="single"/>
          <w:shd w:val="clear" w:color="auto" w:fill="000000"/>
        </w:rPr>
        <w:t xml:space="preserve"> Reais)</w:t>
      </w:r>
      <w:r>
        <w:rPr>
          <w:rFonts w:ascii="Book Antiqua" w:hAnsi="Book Antiqua"/>
          <w:b/>
          <w:bCs/>
          <w:color w:val="000000"/>
          <w:highlight w:val="yellow"/>
          <w:shd w:val="clear" w:color="auto" w:fill="000000"/>
        </w:rPr>
        <w:t xml:space="preserve">; </w:t>
      </w:r>
    </w:p>
    <w:p>
      <w:pPr>
        <w:keepNext w:val="0"/>
        <w:keepLines w:val="0"/>
        <w:pageBreakBefore w:val="0"/>
        <w:numPr>
          <w:ilvl w:val="2"/>
          <w:numId w:val="9"/>
        </w:numPr>
        <w:tabs>
          <w:tab w:val="left" w:pos="440"/>
          <w:tab w:val="clear" w:pos="1288"/>
        </w:tabs>
        <w:kinsoku/>
        <w:wordWrap/>
        <w:overflowPunct/>
        <w:topLinePunct w:val="0"/>
        <w:autoSpaceDE/>
        <w:autoSpaceDN/>
        <w:bidi w:val="0"/>
        <w:adjustRightInd/>
        <w:snapToGrid/>
        <w:spacing w:after="120"/>
        <w:ind w:left="660" w:firstLine="0"/>
        <w:jc w:val="both"/>
        <w:textAlignment w:val="auto"/>
        <w:rPr>
          <w:rFonts w:ascii="Book Antiqua" w:hAnsi="Book Antiqua"/>
          <w:b/>
        </w:rPr>
      </w:pPr>
      <w:r>
        <w:rPr>
          <w:rFonts w:ascii="Book Antiqua" w:hAnsi="Book Antiqua"/>
        </w:rPr>
        <w:t xml:space="preserve">O intervalo entre os lances enviados pelo mesmo licitante não poderá ser inferior a vinte (20) segundos e o intervalo entre lances não poderá ser inferior a três (3) segundos, sob pena de serem automaticamente descartados pelo sistema os respectivos lances. </w:t>
      </w:r>
    </w:p>
    <w:p>
      <w:pPr>
        <w:keepNext w:val="0"/>
        <w:keepLines w:val="0"/>
        <w:pageBreakBefore w:val="0"/>
        <w:numPr>
          <w:ilvl w:val="1"/>
          <w:numId w:val="9"/>
        </w:numPr>
        <w:tabs>
          <w:tab w:val="left" w:pos="440"/>
          <w:tab w:val="clear" w:pos="720"/>
        </w:tabs>
        <w:kinsoku/>
        <w:wordWrap/>
        <w:overflowPunct/>
        <w:topLinePunct w:val="0"/>
        <w:autoSpaceDE/>
        <w:autoSpaceDN/>
        <w:bidi w:val="0"/>
        <w:adjustRightInd/>
        <w:snapToGrid/>
        <w:spacing w:after="120"/>
        <w:ind w:left="0" w:firstLine="0"/>
        <w:jc w:val="both"/>
        <w:textAlignment w:val="auto"/>
        <w:rPr>
          <w:rFonts w:ascii="Book Antiqua" w:hAnsi="Book Antiqua"/>
          <w:b/>
        </w:rPr>
      </w:pPr>
      <w:r>
        <w:rPr>
          <w:rFonts w:ascii="Book Antiqua" w:hAnsi="Book Antiqua"/>
          <w:color w:val="000000"/>
        </w:rPr>
        <w:t xml:space="preserve"> A licitante somente poderá oferecer lances inferiores ao último por ele ofertado e registrado no sistema;</w:t>
      </w:r>
    </w:p>
    <w:p>
      <w:pPr>
        <w:keepNext w:val="0"/>
        <w:keepLines w:val="0"/>
        <w:pageBreakBefore w:val="0"/>
        <w:numPr>
          <w:ilvl w:val="1"/>
          <w:numId w:val="9"/>
        </w:numPr>
        <w:tabs>
          <w:tab w:val="left" w:pos="440"/>
          <w:tab w:val="clear" w:pos="720"/>
        </w:tabs>
        <w:kinsoku/>
        <w:wordWrap/>
        <w:overflowPunct/>
        <w:topLinePunct w:val="0"/>
        <w:autoSpaceDE/>
        <w:autoSpaceDN/>
        <w:bidi w:val="0"/>
        <w:adjustRightInd/>
        <w:snapToGrid/>
        <w:spacing w:after="120"/>
        <w:ind w:left="0" w:firstLine="0"/>
        <w:jc w:val="both"/>
        <w:textAlignment w:val="auto"/>
        <w:rPr>
          <w:rFonts w:ascii="Book Antiqua" w:hAnsi="Book Antiqua"/>
          <w:b/>
        </w:rPr>
      </w:pPr>
      <w:r>
        <w:rPr>
          <w:rFonts w:ascii="Book Antiqua" w:hAnsi="Book Antiqua"/>
          <w:color w:val="000000"/>
        </w:rPr>
        <w:t xml:space="preserve"> Não serão aceitos dois ou mais lances de mesmo valor, prevalecendo aquele que for recebido e registrado em primeiro lugar;</w:t>
      </w:r>
    </w:p>
    <w:p>
      <w:pPr>
        <w:keepNext w:val="0"/>
        <w:keepLines w:val="0"/>
        <w:pageBreakBefore w:val="0"/>
        <w:numPr>
          <w:ilvl w:val="1"/>
          <w:numId w:val="9"/>
        </w:numPr>
        <w:tabs>
          <w:tab w:val="left" w:pos="440"/>
          <w:tab w:val="clear" w:pos="720"/>
        </w:tabs>
        <w:kinsoku/>
        <w:wordWrap/>
        <w:overflowPunct/>
        <w:topLinePunct w:val="0"/>
        <w:autoSpaceDE/>
        <w:autoSpaceDN/>
        <w:bidi w:val="0"/>
        <w:adjustRightInd/>
        <w:snapToGrid/>
        <w:spacing w:after="120"/>
        <w:ind w:left="0" w:firstLine="0"/>
        <w:jc w:val="both"/>
        <w:textAlignment w:val="auto"/>
        <w:rPr>
          <w:rFonts w:ascii="Book Antiqua" w:hAnsi="Book Antiqua"/>
          <w:b/>
        </w:rPr>
      </w:pPr>
      <w:r>
        <w:rPr>
          <w:rFonts w:ascii="Book Antiqua" w:hAnsi="Book Antiqua"/>
          <w:color w:val="000000"/>
        </w:rPr>
        <w:t>Durante o transcurso da sessão pública, as licitantes serão informadas, em tempo real, do valor do menor lance registrado que tenha sido apresentado pelas demais licitantes, vedada a identificação do detentor do lance;</w:t>
      </w:r>
    </w:p>
    <w:p>
      <w:pPr>
        <w:keepNext w:val="0"/>
        <w:keepLines w:val="0"/>
        <w:pageBreakBefore w:val="0"/>
        <w:numPr>
          <w:ilvl w:val="1"/>
          <w:numId w:val="9"/>
        </w:numPr>
        <w:tabs>
          <w:tab w:val="left" w:pos="440"/>
          <w:tab w:val="clear" w:pos="720"/>
        </w:tabs>
        <w:kinsoku/>
        <w:wordWrap/>
        <w:overflowPunct/>
        <w:topLinePunct w:val="0"/>
        <w:autoSpaceDE/>
        <w:autoSpaceDN/>
        <w:bidi w:val="0"/>
        <w:adjustRightInd/>
        <w:snapToGrid/>
        <w:spacing w:after="120"/>
        <w:ind w:left="0" w:firstLine="0"/>
        <w:jc w:val="both"/>
        <w:textAlignment w:val="auto"/>
        <w:rPr>
          <w:rFonts w:ascii="Book Antiqua" w:hAnsi="Book Antiqua"/>
          <w:b/>
        </w:rPr>
      </w:pPr>
      <w:r>
        <w:rPr>
          <w:rFonts w:ascii="Book Antiqua" w:hAnsi="Book Antiqua"/>
          <w:color w:val="000000"/>
        </w:rPr>
        <w:t>Sendo efetuado lance manifestamente inexequível, o pregoeiro poderá alertar o proponente sobre o valor cotado para o respectivo item, através do sistema, o excluirá, podendo o mesmo ser confirmado ou reformulado pelo proponente;</w:t>
      </w:r>
    </w:p>
    <w:p>
      <w:pPr>
        <w:keepNext w:val="0"/>
        <w:keepLines w:val="0"/>
        <w:pageBreakBefore w:val="0"/>
        <w:numPr>
          <w:ilvl w:val="2"/>
          <w:numId w:val="9"/>
        </w:numPr>
        <w:tabs>
          <w:tab w:val="left" w:pos="440"/>
          <w:tab w:val="clear" w:pos="1288"/>
        </w:tabs>
        <w:kinsoku/>
        <w:wordWrap/>
        <w:overflowPunct/>
        <w:topLinePunct w:val="0"/>
        <w:autoSpaceDE/>
        <w:autoSpaceDN/>
        <w:bidi w:val="0"/>
        <w:adjustRightInd/>
        <w:snapToGrid/>
        <w:spacing w:after="120"/>
        <w:ind w:left="660" w:firstLine="32"/>
        <w:jc w:val="both"/>
        <w:textAlignment w:val="auto"/>
        <w:rPr>
          <w:rFonts w:ascii="Book Antiqua" w:hAnsi="Book Antiqua"/>
          <w:b/>
        </w:rPr>
      </w:pPr>
      <w:r>
        <w:rPr>
          <w:rFonts w:ascii="Book Antiqua" w:hAnsi="Book Antiqua"/>
          <w:color w:val="000000"/>
        </w:rPr>
        <w:t xml:space="preserve"> A exclusão de lance é possível somente durante a fase de lances, conforme possibilita o sistema eletrônico, ou seja, antes do encerramento do </w:t>
      </w:r>
      <w:r>
        <w:rPr>
          <w:rFonts w:ascii="Book Antiqua" w:hAnsi="Book Antiqua"/>
          <w:b/>
          <w:color w:val="000000"/>
        </w:rPr>
        <w:t>item</w:t>
      </w:r>
      <w:r>
        <w:rPr>
          <w:rFonts w:ascii="Book Antiqua" w:hAnsi="Book Antiqua"/>
          <w:color w:val="000000"/>
        </w:rPr>
        <w:t>;</w:t>
      </w:r>
    </w:p>
    <w:p>
      <w:pPr>
        <w:keepNext w:val="0"/>
        <w:keepLines w:val="0"/>
        <w:pageBreakBefore w:val="0"/>
        <w:numPr>
          <w:ilvl w:val="2"/>
          <w:numId w:val="9"/>
        </w:numPr>
        <w:tabs>
          <w:tab w:val="left" w:pos="440"/>
          <w:tab w:val="clear" w:pos="1288"/>
        </w:tabs>
        <w:kinsoku/>
        <w:wordWrap/>
        <w:overflowPunct/>
        <w:topLinePunct w:val="0"/>
        <w:autoSpaceDE/>
        <w:autoSpaceDN/>
        <w:bidi w:val="0"/>
        <w:adjustRightInd/>
        <w:snapToGrid/>
        <w:spacing w:after="120"/>
        <w:ind w:left="660" w:firstLine="32"/>
        <w:jc w:val="both"/>
        <w:textAlignment w:val="auto"/>
        <w:rPr>
          <w:rFonts w:ascii="Book Antiqua" w:hAnsi="Book Antiqua"/>
          <w:b/>
        </w:rPr>
      </w:pPr>
      <w:r>
        <w:rPr>
          <w:rFonts w:ascii="Book Antiqua" w:hAnsi="Book Antiqua"/>
          <w:color w:val="000000"/>
        </w:rPr>
        <w:t xml:space="preserve"> O proponente que encaminhar o lance com valor manifestamente inexequível durante a fase de lances, e, não havendo tempo hábil, para exclusão e/ou reformulação do lance, caso o mesmo não honre a oferta encaminhada, terá sua proposta </w:t>
      </w:r>
      <w:r>
        <w:rPr>
          <w:rFonts w:ascii="Book Antiqua" w:hAnsi="Book Antiqua"/>
          <w:b/>
          <w:color w:val="000000"/>
        </w:rPr>
        <w:t>DESCLASSIFICADA</w:t>
      </w:r>
      <w:r>
        <w:rPr>
          <w:rFonts w:ascii="Book Antiqua" w:hAnsi="Book Antiqua"/>
          <w:color w:val="000000"/>
        </w:rPr>
        <w:t xml:space="preserve"> na fase de aceitabilidade;</w:t>
      </w:r>
    </w:p>
    <w:p>
      <w:pPr>
        <w:keepNext w:val="0"/>
        <w:keepLines w:val="0"/>
        <w:pageBreakBefore w:val="0"/>
        <w:numPr>
          <w:ilvl w:val="1"/>
          <w:numId w:val="9"/>
        </w:numPr>
        <w:tabs>
          <w:tab w:val="left" w:pos="440"/>
          <w:tab w:val="clear" w:pos="720"/>
        </w:tabs>
        <w:kinsoku/>
        <w:wordWrap/>
        <w:overflowPunct/>
        <w:topLinePunct w:val="0"/>
        <w:autoSpaceDE/>
        <w:autoSpaceDN/>
        <w:bidi w:val="0"/>
        <w:adjustRightInd/>
        <w:snapToGrid/>
        <w:spacing w:after="120"/>
        <w:ind w:left="0" w:firstLine="0"/>
        <w:jc w:val="both"/>
        <w:textAlignment w:val="auto"/>
        <w:rPr>
          <w:rFonts w:ascii="Book Antiqua" w:hAnsi="Book Antiqua"/>
          <w:b/>
        </w:rPr>
      </w:pPr>
      <w:r>
        <w:rPr>
          <w:rFonts w:ascii="Book Antiqua" w:hAnsi="Book Antiqua"/>
          <w:color w:val="000000"/>
        </w:rPr>
        <w:t>No caso de desconexão com o pregoeiro, no decorrer da etapa competitiva do Pregão Eletrônico, o Sistema Eletrônico poderá permanecer acessível às licitantes para a recepção dos lances;</w:t>
      </w:r>
    </w:p>
    <w:p>
      <w:pPr>
        <w:keepNext w:val="0"/>
        <w:keepLines w:val="0"/>
        <w:pageBreakBefore w:val="0"/>
        <w:numPr>
          <w:ilvl w:val="1"/>
          <w:numId w:val="9"/>
        </w:numPr>
        <w:tabs>
          <w:tab w:val="left" w:pos="440"/>
          <w:tab w:val="clear" w:pos="720"/>
        </w:tabs>
        <w:kinsoku/>
        <w:wordWrap/>
        <w:overflowPunct/>
        <w:topLinePunct w:val="0"/>
        <w:autoSpaceDE/>
        <w:autoSpaceDN/>
        <w:bidi w:val="0"/>
        <w:adjustRightInd/>
        <w:snapToGrid/>
        <w:spacing w:after="120"/>
        <w:ind w:left="0" w:firstLine="0"/>
        <w:jc w:val="both"/>
        <w:textAlignment w:val="auto"/>
        <w:rPr>
          <w:rFonts w:ascii="Book Antiqua" w:hAnsi="Book Antiqua"/>
          <w:b/>
        </w:rPr>
      </w:pPr>
      <w:r>
        <w:rPr>
          <w:rFonts w:ascii="Book Antiqua" w:hAnsi="Book Antiqua"/>
          <w:color w:val="000000"/>
        </w:rPr>
        <w:t>O pregoeiro, quando possível, dará continuidade a sua atuação no certame, sem prejuízo dos atos realizados;</w:t>
      </w:r>
    </w:p>
    <w:p>
      <w:pPr>
        <w:keepNext w:val="0"/>
        <w:keepLines w:val="0"/>
        <w:pageBreakBefore w:val="0"/>
        <w:numPr>
          <w:ilvl w:val="1"/>
          <w:numId w:val="9"/>
        </w:numPr>
        <w:tabs>
          <w:tab w:val="left" w:pos="440"/>
          <w:tab w:val="clear" w:pos="720"/>
        </w:tabs>
        <w:kinsoku/>
        <w:wordWrap/>
        <w:overflowPunct/>
        <w:topLinePunct w:val="0"/>
        <w:autoSpaceDE/>
        <w:autoSpaceDN/>
        <w:bidi w:val="0"/>
        <w:adjustRightInd/>
        <w:snapToGrid/>
        <w:spacing w:after="120"/>
        <w:ind w:left="0" w:firstLine="0"/>
        <w:jc w:val="both"/>
        <w:textAlignment w:val="auto"/>
        <w:rPr>
          <w:rFonts w:ascii="Book Antiqua" w:hAnsi="Book Antiqua"/>
          <w:b/>
        </w:rPr>
      </w:pPr>
      <w:r>
        <w:rPr>
          <w:rFonts w:ascii="Book Antiqua" w:hAnsi="Book Antiqua"/>
          <w:color w:val="000000"/>
        </w:rPr>
        <w:t xml:space="preserve">Quando a desconexão persistir por tempo superior a </w:t>
      </w:r>
      <w:r>
        <w:rPr>
          <w:rFonts w:ascii="Book Antiqua" w:hAnsi="Book Antiqua"/>
          <w:b/>
          <w:color w:val="000000"/>
        </w:rPr>
        <w:t>10 (dez) minutos</w:t>
      </w:r>
      <w:r>
        <w:rPr>
          <w:rFonts w:ascii="Book Antiqua" w:hAnsi="Book Antiqua"/>
          <w:color w:val="000000"/>
        </w:rPr>
        <w:t xml:space="preserve">, a sessão do Pregão Eletrônico será suspensa e terá reinício somente após comunicação expressa aos participantes, através do CHAT MENSAGEM, no endereço eletrônico utilizado para divulgação no site </w:t>
      </w:r>
      <w:r>
        <w:fldChar w:fldCharType="begin"/>
      </w:r>
      <w:r>
        <w:instrText xml:space="preserve"> HYPERLINK "http://www.comprasnet.gov.br" </w:instrText>
      </w:r>
      <w:r>
        <w:fldChar w:fldCharType="separate"/>
      </w:r>
      <w:r>
        <w:rPr>
          <w:rStyle w:val="19"/>
          <w:rFonts w:ascii="Book Antiqua" w:hAnsi="Book Antiqua" w:cs="Book Antiqua"/>
          <w:b/>
          <w:bCs/>
          <w:color w:val="1D41D5"/>
        </w:rPr>
        <w:t>www.gov.br</w:t>
      </w:r>
      <w:r>
        <w:rPr>
          <w:rStyle w:val="19"/>
          <w:rFonts w:ascii="Book Antiqua" w:hAnsi="Book Antiqua" w:cs="Book Antiqua"/>
          <w:b/>
          <w:bCs/>
          <w:color w:val="1D41D5"/>
        </w:rPr>
        <w:fldChar w:fldCharType="end"/>
      </w:r>
      <w:r>
        <w:rPr>
          <w:rStyle w:val="19"/>
          <w:rFonts w:ascii="Book Antiqua" w:hAnsi="Book Antiqua" w:cs="Book Antiqua"/>
          <w:b/>
          <w:bCs/>
          <w:color w:val="1D41D5"/>
        </w:rPr>
        <w:t>/compras</w:t>
      </w:r>
      <w:r>
        <w:rPr>
          <w:rFonts w:ascii="Book Antiqua" w:hAnsi="Book Antiqua"/>
          <w:b/>
          <w:color w:val="1D41D5"/>
          <w:u w:val="single"/>
        </w:rPr>
        <w:t>.</w:t>
      </w:r>
    </w:p>
    <w:p>
      <w:pPr>
        <w:pStyle w:val="59"/>
        <w:keepNext w:val="0"/>
        <w:keepLines w:val="0"/>
        <w:pageBreakBefore w:val="0"/>
        <w:widowControl w:val="0"/>
        <w:numPr>
          <w:ilvl w:val="1"/>
          <w:numId w:val="9"/>
        </w:numPr>
        <w:kinsoku/>
        <w:wordWrap/>
        <w:overflowPunct/>
        <w:topLinePunct w:val="0"/>
        <w:autoSpaceDE/>
        <w:autoSpaceDN/>
        <w:bidi w:val="0"/>
        <w:adjustRightInd/>
        <w:snapToGrid/>
        <w:spacing w:after="120"/>
        <w:ind w:left="0" w:firstLine="0"/>
        <w:textAlignment w:val="auto"/>
        <w:rPr>
          <w:rFonts w:ascii="Book Antiqua" w:hAnsi="Book Antiqua"/>
          <w:b/>
          <w:sz w:val="22"/>
        </w:rPr>
      </w:pPr>
      <w:r>
        <w:rPr>
          <w:rFonts w:ascii="Book Antiqua" w:hAnsi="Book Antiqua"/>
          <w:sz w:val="22"/>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pPr>
        <w:pStyle w:val="59"/>
        <w:keepNext w:val="0"/>
        <w:keepLines w:val="0"/>
        <w:pageBreakBefore w:val="0"/>
        <w:widowControl w:val="0"/>
        <w:numPr>
          <w:ilvl w:val="1"/>
          <w:numId w:val="9"/>
        </w:numPr>
        <w:kinsoku/>
        <w:wordWrap/>
        <w:overflowPunct/>
        <w:topLinePunct w:val="0"/>
        <w:autoSpaceDE/>
        <w:autoSpaceDN/>
        <w:bidi w:val="0"/>
        <w:adjustRightInd/>
        <w:snapToGrid/>
        <w:spacing w:after="120"/>
        <w:ind w:left="0" w:firstLine="0"/>
        <w:textAlignment w:val="auto"/>
        <w:rPr>
          <w:rFonts w:ascii="Book Antiqua" w:hAnsi="Book Antiqua"/>
          <w:b/>
          <w:sz w:val="22"/>
        </w:rPr>
      </w:pPr>
      <w:r>
        <w:rPr>
          <w:rFonts w:ascii="Book Antiqua" w:hAnsi="Book Antiqua"/>
          <w:sz w:val="22"/>
        </w:rPr>
        <w:t>A desistência em apresentar lance implicará exclusão da licitante da etapa de lances e na manutenção do último preço por ela apresentado, para efeito de ordenação das propostas de preços;</w:t>
      </w:r>
    </w:p>
    <w:p>
      <w:pPr>
        <w:pStyle w:val="59"/>
        <w:keepNext w:val="0"/>
        <w:keepLines w:val="0"/>
        <w:pageBreakBefore w:val="0"/>
        <w:widowControl w:val="0"/>
        <w:numPr>
          <w:ilvl w:val="1"/>
          <w:numId w:val="9"/>
        </w:numPr>
        <w:kinsoku/>
        <w:wordWrap/>
        <w:overflowPunct/>
        <w:topLinePunct w:val="0"/>
        <w:autoSpaceDE/>
        <w:autoSpaceDN/>
        <w:bidi w:val="0"/>
        <w:adjustRightInd/>
        <w:snapToGrid/>
        <w:spacing w:after="120"/>
        <w:ind w:left="0" w:firstLine="0"/>
        <w:textAlignment w:val="auto"/>
        <w:rPr>
          <w:rFonts w:ascii="Book Antiqua" w:hAnsi="Book Antiqua"/>
          <w:b/>
          <w:sz w:val="22"/>
        </w:rPr>
      </w:pPr>
      <w:r>
        <w:rPr>
          <w:rFonts w:ascii="Book Antiqua" w:hAnsi="Book Antiqua"/>
          <w:sz w:val="22"/>
        </w:rPr>
        <w:t xml:space="preserve">Após o encerramento da etapa de lances, será verificado se há empate entre as licitantes que declararam em campo próprio do sistema, que se enquadram como Microempresa – ME ou Empresa de Pequeno Porte – EPP, e as demais licitantes, </w:t>
      </w:r>
      <w:r>
        <w:rPr>
          <w:rFonts w:ascii="Book Antiqua" w:hAnsi="Book Antiqua"/>
          <w:b/>
          <w:sz w:val="22"/>
        </w:rPr>
        <w:t>CONTROLADO SOMENTE PELO SISTEMA COMPRASNET;</w:t>
      </w:r>
    </w:p>
    <w:p>
      <w:pPr>
        <w:pStyle w:val="59"/>
        <w:keepNext w:val="0"/>
        <w:keepLines w:val="0"/>
        <w:pageBreakBefore w:val="0"/>
        <w:widowControl w:val="0"/>
        <w:numPr>
          <w:ilvl w:val="0"/>
          <w:numId w:val="0"/>
        </w:numPr>
        <w:kinsoku/>
        <w:wordWrap/>
        <w:overflowPunct/>
        <w:topLinePunct w:val="0"/>
        <w:autoSpaceDE/>
        <w:autoSpaceDN/>
        <w:bidi w:val="0"/>
        <w:adjustRightInd/>
        <w:snapToGrid/>
        <w:spacing w:after="120"/>
        <w:ind w:leftChars="0"/>
        <w:textAlignment w:val="auto"/>
        <w:rPr>
          <w:rFonts w:ascii="Book Antiqua" w:hAnsi="Book Antiqua"/>
          <w:b/>
          <w:sz w:val="22"/>
        </w:rPr>
      </w:pPr>
    </w:p>
    <w:p>
      <w:pPr>
        <w:pStyle w:val="59"/>
        <w:widowControl w:val="0"/>
        <w:numPr>
          <w:ilvl w:val="1"/>
          <w:numId w:val="9"/>
        </w:numPr>
        <w:snapToGrid/>
        <w:spacing w:after="120"/>
        <w:ind w:left="0" w:firstLine="0"/>
        <w:rPr>
          <w:rFonts w:ascii="Book Antiqua" w:hAnsi="Book Antiqua"/>
          <w:b/>
          <w:sz w:val="22"/>
        </w:rPr>
      </w:pPr>
      <w:r>
        <w:rPr>
          <w:rFonts w:ascii="Book Antiqua" w:hAnsi="Book Antiqua"/>
          <w:sz w:val="22"/>
        </w:rPr>
        <w:t>Se houver duas ou mais propostas em igualdade de condições, como critério de desempate, será assegurada preferência</w:t>
      </w:r>
      <w:r>
        <w:rPr>
          <w:rFonts w:ascii="Book Antiqua" w:hAnsi="Book Antiqua"/>
          <w:color w:val="000000"/>
          <w:sz w:val="22"/>
        </w:rPr>
        <w:t>, sucessivamente, aos bens e serviços:</w:t>
      </w:r>
    </w:p>
    <w:p>
      <w:pPr>
        <w:pStyle w:val="59"/>
        <w:widowControl w:val="0"/>
        <w:snapToGrid/>
        <w:spacing w:after="120"/>
        <w:ind w:left="660" w:leftChars="300"/>
        <w:rPr>
          <w:rFonts w:ascii="Book Antiqua" w:hAnsi="Book Antiqua"/>
          <w:color w:val="000000"/>
          <w:sz w:val="22"/>
        </w:rPr>
      </w:pPr>
      <w:r>
        <w:rPr>
          <w:rFonts w:ascii="Book Antiqua" w:hAnsi="Book Antiqua"/>
          <w:color w:val="000000"/>
          <w:sz w:val="22"/>
        </w:rPr>
        <w:t xml:space="preserve">a) produzidos no País; </w:t>
      </w:r>
    </w:p>
    <w:p>
      <w:pPr>
        <w:pStyle w:val="59"/>
        <w:widowControl w:val="0"/>
        <w:snapToGrid/>
        <w:spacing w:after="120"/>
        <w:ind w:left="660" w:leftChars="300"/>
        <w:rPr>
          <w:rFonts w:ascii="Book Antiqua" w:hAnsi="Book Antiqua"/>
          <w:color w:val="000000"/>
          <w:sz w:val="22"/>
        </w:rPr>
      </w:pPr>
      <w:r>
        <w:rPr>
          <w:rFonts w:ascii="Book Antiqua" w:hAnsi="Book Antiqua"/>
          <w:color w:val="000000"/>
          <w:sz w:val="22"/>
        </w:rPr>
        <w:t xml:space="preserve">b) produzidos ou prestados por empresas brasileiras; </w:t>
      </w:r>
    </w:p>
    <w:p>
      <w:pPr>
        <w:pStyle w:val="59"/>
        <w:widowControl w:val="0"/>
        <w:snapToGrid/>
        <w:spacing w:after="120"/>
        <w:ind w:left="660" w:leftChars="300"/>
        <w:rPr>
          <w:rFonts w:ascii="Book Antiqua" w:hAnsi="Book Antiqua"/>
          <w:color w:val="000000"/>
          <w:sz w:val="22"/>
        </w:rPr>
      </w:pPr>
      <w:r>
        <w:rPr>
          <w:rFonts w:ascii="Book Antiqua" w:hAnsi="Book Antiqua"/>
          <w:color w:val="000000"/>
          <w:sz w:val="22"/>
        </w:rPr>
        <w:t>c) produzidos ou prestados por empresas que invistam em pesquisa e no desenvolvimento de tecnologia no País (art. 3º, § 2º, incisos II, III e IV da Lei nº 8666/93).</w:t>
      </w:r>
    </w:p>
    <w:p>
      <w:pPr>
        <w:pStyle w:val="83"/>
        <w:numPr>
          <w:ilvl w:val="1"/>
          <w:numId w:val="9"/>
        </w:numPr>
        <w:tabs>
          <w:tab w:val="left" w:pos="284"/>
          <w:tab w:val="clear" w:pos="720"/>
        </w:tabs>
        <w:spacing w:after="120"/>
        <w:ind w:left="0" w:firstLine="0"/>
        <w:contextualSpacing w:val="0"/>
        <w:jc w:val="both"/>
        <w:rPr>
          <w:rFonts w:ascii="Book Antiqua" w:hAnsi="Book Antiqua"/>
          <w:color w:val="000000"/>
          <w:sz w:val="22"/>
          <w:szCs w:val="22"/>
          <w:lang w:eastAsia="en-US"/>
        </w:rPr>
      </w:pPr>
      <w:r>
        <w:rPr>
          <w:rFonts w:ascii="Book Antiqua" w:hAnsi="Book Antiqua"/>
          <w:sz w:val="22"/>
          <w:szCs w:val="22"/>
        </w:rPr>
        <w:t xml:space="preserve">Persistindo </w:t>
      </w:r>
      <w:r>
        <w:rPr>
          <w:rFonts w:ascii="Book Antiqua" w:hAnsi="Book Antiqua" w:eastAsia="Arial"/>
          <w:sz w:val="22"/>
          <w:szCs w:val="22"/>
        </w:rPr>
        <w:t xml:space="preserve">o empate, </w:t>
      </w:r>
      <w:r>
        <w:rPr>
          <w:rFonts w:ascii="Book Antiqua" w:hAnsi="Book Antiqua"/>
          <w:color w:val="000000"/>
          <w:sz w:val="22"/>
          <w:szCs w:val="22"/>
        </w:rPr>
        <w:t>a proposta vencedora será sorteada pelo sistema eletrônico dentre as propostas empatadas</w:t>
      </w:r>
      <w:r>
        <w:rPr>
          <w:rFonts w:ascii="Book Antiqua" w:hAnsi="Book Antiqua" w:eastAsia="Arial"/>
          <w:sz w:val="22"/>
          <w:szCs w:val="22"/>
        </w:rPr>
        <w:t>.</w:t>
      </w:r>
      <w:r>
        <w:rPr>
          <w:rFonts w:ascii="Book Antiqua" w:hAnsi="Book Antiqua"/>
          <w:color w:val="000000"/>
          <w:sz w:val="22"/>
          <w:szCs w:val="22"/>
          <w:lang w:eastAsia="en-US"/>
        </w:rPr>
        <w:t xml:space="preserve"> </w:t>
      </w:r>
    </w:p>
    <w:p>
      <w:pPr>
        <w:pStyle w:val="59"/>
        <w:widowControl w:val="0"/>
        <w:numPr>
          <w:ilvl w:val="1"/>
          <w:numId w:val="9"/>
        </w:numPr>
        <w:tabs>
          <w:tab w:val="left" w:pos="567"/>
          <w:tab w:val="clear" w:pos="720"/>
        </w:tabs>
        <w:snapToGrid/>
        <w:spacing w:after="120"/>
        <w:ind w:left="0" w:firstLine="0"/>
        <w:rPr>
          <w:rFonts w:ascii="Book Antiqua" w:hAnsi="Book Antiqua"/>
          <w:b/>
          <w:sz w:val="22"/>
        </w:rPr>
      </w:pPr>
      <w:r>
        <w:rPr>
          <w:rFonts w:ascii="Book Antiqua" w:hAnsi="Book Antiqua"/>
          <w:sz w:val="22"/>
        </w:rPr>
        <w:t xml:space="preserve"> Nos casos em que o sistema Comprasnet não indicar o vencedor, a escolha do vencedor será feita através de sorteio, em sessão pública, com a convocação dos interessados.</w:t>
      </w:r>
    </w:p>
    <w:p>
      <w:pPr>
        <w:pStyle w:val="56"/>
        <w:widowControl w:val="0"/>
        <w:numPr>
          <w:ilvl w:val="0"/>
          <w:numId w:val="9"/>
        </w:numPr>
        <w:pBdr>
          <w:top w:val="single" w:color="auto" w:sz="4" w:space="1"/>
          <w:left w:val="single" w:color="auto" w:sz="4" w:space="4"/>
          <w:bottom w:val="single" w:color="auto" w:sz="4" w:space="1"/>
          <w:right w:val="single" w:color="auto" w:sz="4" w:space="4"/>
        </w:pBdr>
        <w:shd w:val="clear" w:color="auto" w:fill="D8D8D8" w:themeFill="background1" w:themeFillShade="D9"/>
        <w:spacing w:after="80"/>
        <w:ind w:left="0" w:firstLine="0"/>
        <w:rPr>
          <w:rFonts w:ascii="Book Antiqua" w:hAnsi="Book Antiqua"/>
          <w:b/>
          <w:color w:val="0000FF"/>
          <w:sz w:val="22"/>
        </w:rPr>
      </w:pPr>
      <w:r>
        <w:rPr>
          <w:rFonts w:ascii="Book Antiqua" w:hAnsi="Book Antiqua"/>
          <w:b/>
          <w:color w:val="0000FF"/>
          <w:sz w:val="22"/>
        </w:rPr>
        <w:t xml:space="preserve">DA NEGOCIAÇÃO E ATUALIZAÇÃO DOS PREÇOS </w:t>
      </w:r>
    </w:p>
    <w:p>
      <w:pPr>
        <w:pStyle w:val="56"/>
        <w:widowControl w:val="0"/>
        <w:numPr>
          <w:ilvl w:val="1"/>
          <w:numId w:val="9"/>
        </w:numPr>
        <w:tabs>
          <w:tab w:val="left" w:pos="440"/>
          <w:tab w:val="clear" w:pos="720"/>
        </w:tabs>
        <w:spacing w:after="120"/>
        <w:ind w:left="0" w:firstLine="0"/>
        <w:rPr>
          <w:rFonts w:ascii="Book Antiqua" w:hAnsi="Book Antiqua"/>
          <w:sz w:val="22"/>
        </w:rPr>
      </w:pPr>
      <w:r>
        <w:rPr>
          <w:rFonts w:ascii="Book Antiqua" w:hAnsi="Book Antiqua"/>
          <w:sz w:val="22"/>
        </w:rPr>
        <w:t xml:space="preserve"> Após finalização dos lances haverá negociações e atualizações dos preços por meio do CHAT MENSAGEM do sistema comprasnet, devendo o pregoeiro examinar a compatibilidade dos preços em relação ao estimado para contratação, apurado pelo setor de Pesquisas de Preços/Gerência de Compras da Prefeitura de Ariquemes/RO, bem como, se o valor unitário e total encontram-se com no máximo 02 (duas) </w:t>
      </w:r>
      <w:r>
        <w:rPr>
          <w:rFonts w:ascii="Book Antiqua" w:hAnsi="Book Antiqua"/>
          <w:color w:val="000000"/>
          <w:sz w:val="22"/>
        </w:rPr>
        <w:t>casas decimais;</w:t>
      </w:r>
    </w:p>
    <w:p>
      <w:pPr>
        <w:pStyle w:val="56"/>
        <w:widowControl w:val="0"/>
        <w:numPr>
          <w:ilvl w:val="1"/>
          <w:numId w:val="9"/>
        </w:numPr>
        <w:tabs>
          <w:tab w:val="left" w:pos="440"/>
          <w:tab w:val="clear" w:pos="720"/>
        </w:tabs>
        <w:spacing w:after="120"/>
        <w:ind w:left="0" w:firstLine="0"/>
        <w:rPr>
          <w:rFonts w:ascii="Book Antiqua" w:hAnsi="Book Antiqua"/>
          <w:sz w:val="22"/>
        </w:rPr>
      </w:pPr>
      <w:r>
        <w:rPr>
          <w:rFonts w:ascii="Book Antiqua" w:hAnsi="Book Antiqua" w:eastAsia="TimesNewRomanPSMT" w:cs="Book Antiqua"/>
          <w:color w:val="000000"/>
          <w:sz w:val="22"/>
          <w:u w:val="single"/>
          <w:lang w:eastAsia="zh-CN" w:bidi="ar"/>
        </w:rPr>
        <w:t xml:space="preserve"> </w:t>
      </w:r>
      <w:r>
        <w:rPr>
          <w:rFonts w:ascii="Book Antiqua" w:hAnsi="Book Antiqua" w:eastAsia="TimesNewRomanPSMT" w:cs="Book Antiqua"/>
          <w:color w:val="000000"/>
          <w:sz w:val="22"/>
          <w:u w:val="single"/>
          <w:lang w:val="en-US" w:eastAsia="zh-CN" w:bidi="ar"/>
        </w:rPr>
        <w:t>O Pregoeiro não aceitará e não adjudicará o item cujo preço seja superior ao estimado (valor</w:t>
      </w:r>
      <w:r>
        <w:rPr>
          <w:rFonts w:ascii="Book Antiqua" w:hAnsi="Book Antiqua" w:eastAsia="TimesNewRomanPSMT" w:cs="Book Antiqua"/>
          <w:color w:val="000000"/>
          <w:sz w:val="22"/>
          <w:u w:val="single"/>
          <w:lang w:eastAsia="zh-CN" w:bidi="ar"/>
        </w:rPr>
        <w:t xml:space="preserve"> </w:t>
      </w:r>
      <w:r>
        <w:rPr>
          <w:rFonts w:ascii="Book Antiqua" w:hAnsi="Book Antiqua" w:eastAsia="TimesNewRomanPSMT" w:cs="Book Antiqua"/>
          <w:color w:val="000000"/>
          <w:sz w:val="22"/>
          <w:u w:val="single"/>
          <w:lang w:val="en-US" w:eastAsia="zh-CN" w:bidi="ar"/>
        </w:rPr>
        <w:t xml:space="preserve">de </w:t>
      </w:r>
      <w:r>
        <w:rPr>
          <w:rFonts w:ascii="Book Antiqua" w:hAnsi="Book Antiqua" w:eastAsia="TimesNewRomanPSMT" w:cs="Book Antiqua"/>
          <w:color w:val="000000"/>
          <w:sz w:val="22"/>
          <w:u w:val="single"/>
          <w:lang w:eastAsia="zh-CN" w:bidi="ar"/>
        </w:rPr>
        <w:t>referência</w:t>
      </w:r>
      <w:r>
        <w:rPr>
          <w:rFonts w:ascii="Book Antiqua" w:hAnsi="Book Antiqua" w:eastAsia="TimesNewRomanPSMT" w:cs="Book Antiqua"/>
          <w:color w:val="000000"/>
          <w:sz w:val="22"/>
          <w:u w:val="single"/>
          <w:lang w:val="en-US" w:eastAsia="zh-CN" w:bidi="ar"/>
        </w:rPr>
        <w:t>) para a contratação, apurado pel</w:t>
      </w:r>
      <w:r>
        <w:rPr>
          <w:rFonts w:ascii="Book Antiqua" w:hAnsi="Book Antiqua" w:eastAsia="TimesNewRomanPSMT" w:cs="Book Antiqua"/>
          <w:color w:val="000000"/>
          <w:sz w:val="22"/>
          <w:u w:val="single"/>
          <w:lang w:eastAsia="zh-CN" w:bidi="ar"/>
        </w:rPr>
        <w:t>a Gerência de Compras/</w:t>
      </w:r>
      <w:r>
        <w:rPr>
          <w:rFonts w:ascii="Book Antiqua" w:hAnsi="Book Antiqua" w:eastAsia="TimesNewRomanPSMT" w:cs="Book Antiqua"/>
          <w:color w:val="000000"/>
          <w:sz w:val="22"/>
          <w:u w:val="single"/>
          <w:lang w:val="en-US" w:eastAsia="zh-CN" w:bidi="ar"/>
        </w:rPr>
        <w:t>Setor de Pesquisa</w:t>
      </w:r>
      <w:r>
        <w:rPr>
          <w:rFonts w:ascii="Book Antiqua" w:hAnsi="Book Antiqua" w:eastAsia="TimesNewRomanPSMT" w:cs="Book Antiqua"/>
          <w:color w:val="000000"/>
          <w:sz w:val="22"/>
          <w:u w:val="single"/>
          <w:lang w:eastAsia="zh-CN" w:bidi="ar"/>
        </w:rPr>
        <w:t xml:space="preserve"> de Preços</w:t>
      </w:r>
      <w:r>
        <w:rPr>
          <w:rFonts w:ascii="Book Antiqua" w:hAnsi="Book Antiqua" w:eastAsia="TimesNewRomanPSMT" w:cs="Book Antiqua"/>
          <w:color w:val="000000"/>
          <w:sz w:val="22"/>
          <w:u w:val="single"/>
          <w:lang w:val="en-US" w:eastAsia="zh-CN" w:bidi="ar"/>
        </w:rPr>
        <w:t xml:space="preserve"> e Cotaç</w:t>
      </w:r>
      <w:r>
        <w:rPr>
          <w:rFonts w:ascii="Book Antiqua" w:hAnsi="Book Antiqua" w:eastAsia="TimesNewRomanPSMT" w:cs="Book Antiqua"/>
          <w:color w:val="000000"/>
          <w:sz w:val="22"/>
          <w:u w:val="single"/>
          <w:lang w:eastAsia="zh-CN" w:bidi="ar"/>
        </w:rPr>
        <w:t>ões</w:t>
      </w:r>
      <w:r>
        <w:rPr>
          <w:rFonts w:ascii="Book Antiqua" w:hAnsi="Book Antiqua" w:eastAsia="TimesNewRomanPSMT" w:cs="Book Antiqua"/>
          <w:color w:val="000000"/>
          <w:sz w:val="22"/>
          <w:u w:val="single"/>
          <w:lang w:val="en-US" w:eastAsia="zh-CN" w:bidi="ar"/>
        </w:rPr>
        <w:t xml:space="preserve"> </w:t>
      </w:r>
      <w:r>
        <w:rPr>
          <w:rFonts w:ascii="Book Antiqua" w:hAnsi="Book Antiqua" w:eastAsia="TimesNewRomanPSMT" w:cs="Book Antiqua"/>
          <w:color w:val="000000"/>
          <w:sz w:val="22"/>
          <w:u w:val="single"/>
          <w:lang w:eastAsia="zh-CN" w:bidi="ar"/>
        </w:rPr>
        <w:t>da SML</w:t>
      </w:r>
      <w:r>
        <w:rPr>
          <w:rFonts w:ascii="Book Antiqua" w:hAnsi="Book Antiqua" w:eastAsia="TimesNewRomanPSMT" w:cs="Book Antiqua"/>
          <w:color w:val="000000"/>
          <w:sz w:val="22"/>
          <w:u w:val="single"/>
          <w:lang w:val="en-US" w:eastAsia="zh-CN" w:bidi="ar"/>
        </w:rPr>
        <w:t>/</w:t>
      </w:r>
      <w:r>
        <w:rPr>
          <w:rFonts w:ascii="Book Antiqua" w:hAnsi="Book Antiqua" w:eastAsia="TimesNewRomanPSMT" w:cs="Book Antiqua"/>
          <w:color w:val="000000"/>
          <w:sz w:val="22"/>
          <w:u w:val="single"/>
          <w:lang w:eastAsia="zh-CN" w:bidi="ar"/>
        </w:rPr>
        <w:t>PMA</w:t>
      </w:r>
      <w:r>
        <w:rPr>
          <w:rFonts w:ascii="Book Antiqua" w:hAnsi="Book Antiqua" w:eastAsia="TimesNewRomanPSMT" w:cs="Book Antiqua"/>
          <w:color w:val="000000"/>
          <w:sz w:val="22"/>
          <w:u w:val="single"/>
          <w:lang w:val="en-US" w:eastAsia="zh-CN" w:bidi="ar"/>
        </w:rPr>
        <w:t xml:space="preserve">. </w:t>
      </w:r>
    </w:p>
    <w:p>
      <w:pPr>
        <w:pStyle w:val="56"/>
        <w:widowControl w:val="0"/>
        <w:numPr>
          <w:ilvl w:val="2"/>
          <w:numId w:val="9"/>
        </w:numPr>
        <w:tabs>
          <w:tab w:val="left" w:pos="440"/>
          <w:tab w:val="clear" w:pos="1288"/>
        </w:tabs>
        <w:spacing w:after="120"/>
        <w:ind w:left="440" w:firstLine="0"/>
        <w:rPr>
          <w:rFonts w:ascii="Book Antiqua" w:hAnsi="Book Antiqua"/>
          <w:sz w:val="22"/>
        </w:rPr>
      </w:pPr>
      <w:r>
        <w:rPr>
          <w:rFonts w:ascii="Book Antiqua" w:hAnsi="Book Antiqua"/>
          <w:sz w:val="22"/>
        </w:rPr>
        <w:t>O Pregoeiro poderá encaminhar, por meio do sistema eletrônico, contraproposta ao licitante que apresentou o lance mais vantajoso, com o fim de negociar a obtenção de melhor preço, vedada a negociação em condições diversas das previstas neste Edital.</w:t>
      </w:r>
    </w:p>
    <w:p>
      <w:pPr>
        <w:pStyle w:val="56"/>
        <w:widowControl w:val="0"/>
        <w:numPr>
          <w:ilvl w:val="2"/>
          <w:numId w:val="9"/>
        </w:numPr>
        <w:tabs>
          <w:tab w:val="left" w:pos="440"/>
          <w:tab w:val="clear" w:pos="1288"/>
        </w:tabs>
        <w:spacing w:after="120"/>
        <w:ind w:left="440" w:firstLine="0"/>
        <w:rPr>
          <w:rFonts w:ascii="Book Antiqua" w:hAnsi="Book Antiqua"/>
          <w:sz w:val="22"/>
        </w:rPr>
      </w:pPr>
      <w:r>
        <w:rPr>
          <w:rFonts w:ascii="Book Antiqua" w:hAnsi="Book Antiqua"/>
          <w:sz w:val="22"/>
        </w:rPr>
        <w:t>Também nas hipóteses em que o Pregoeiro não aceitar a proposta e passar à subsequente, poderá negociar com o licitante para que seja obtido preço melhor.</w:t>
      </w:r>
    </w:p>
    <w:p>
      <w:pPr>
        <w:pStyle w:val="56"/>
        <w:widowControl w:val="0"/>
        <w:numPr>
          <w:ilvl w:val="2"/>
          <w:numId w:val="9"/>
        </w:numPr>
        <w:tabs>
          <w:tab w:val="left" w:pos="440"/>
          <w:tab w:val="clear" w:pos="1288"/>
        </w:tabs>
        <w:spacing w:after="120"/>
        <w:ind w:left="440" w:firstLine="0"/>
        <w:rPr>
          <w:rFonts w:ascii="Book Antiqua" w:hAnsi="Book Antiqua"/>
          <w:sz w:val="22"/>
        </w:rPr>
      </w:pPr>
      <w:r>
        <w:rPr>
          <w:rFonts w:ascii="Book Antiqua" w:hAnsi="Book Antiqua"/>
          <w:sz w:val="22"/>
        </w:rPr>
        <w:t>A negociação será realizada por meio do sistema, podendo ser acompanhada pelos demais licitantes.</w:t>
      </w:r>
    </w:p>
    <w:p>
      <w:pPr>
        <w:pStyle w:val="56"/>
        <w:widowControl w:val="0"/>
        <w:numPr>
          <w:ilvl w:val="1"/>
          <w:numId w:val="9"/>
        </w:numPr>
        <w:tabs>
          <w:tab w:val="left" w:pos="440"/>
          <w:tab w:val="clear" w:pos="720"/>
        </w:tabs>
        <w:spacing w:after="120"/>
        <w:ind w:left="0" w:firstLine="0"/>
        <w:rPr>
          <w:rFonts w:ascii="Book Antiqua" w:hAnsi="Book Antiqua"/>
          <w:sz w:val="22"/>
        </w:rPr>
      </w:pPr>
      <w:r>
        <w:rPr>
          <w:rFonts w:ascii="Book Antiqua" w:hAnsi="Book Antiqua"/>
          <w:sz w:val="22"/>
        </w:rPr>
        <w:t xml:space="preserve"> Serão realizadas, sem interrupções, tantas rodadas de negociação forem necessárias para obtenção do melhor preço para a administração através do “</w:t>
      </w:r>
      <w:r>
        <w:rPr>
          <w:rFonts w:ascii="Book Antiqua" w:hAnsi="Book Antiqua"/>
          <w:sz w:val="22"/>
          <w:u w:val="single"/>
        </w:rPr>
        <w:t>chat mensagem”</w:t>
      </w:r>
      <w:r>
        <w:rPr>
          <w:rFonts w:ascii="Book Antiqua" w:hAnsi="Book Antiqua"/>
          <w:sz w:val="22"/>
        </w:rPr>
        <w:t xml:space="preserve"> do sistema, podendo o Pregoeiro determinar ao representante, prazo máximo de 10 (dez) minutos para resposta do chat, sendo que este tempo poderá ser concedido quantas vezes for necessário ou até que se esgotem as ofertas por parte da Licitante.</w:t>
      </w:r>
    </w:p>
    <w:p>
      <w:pPr>
        <w:pStyle w:val="56"/>
        <w:widowControl w:val="0"/>
        <w:numPr>
          <w:ilvl w:val="1"/>
          <w:numId w:val="9"/>
        </w:numPr>
        <w:tabs>
          <w:tab w:val="left" w:pos="440"/>
          <w:tab w:val="clear" w:pos="720"/>
        </w:tabs>
        <w:spacing w:after="120"/>
        <w:ind w:left="0" w:firstLine="0"/>
        <w:rPr>
          <w:rFonts w:ascii="Book Antiqua" w:hAnsi="Book Antiqua"/>
          <w:sz w:val="22"/>
        </w:rPr>
      </w:pPr>
      <w:r>
        <w:rPr>
          <w:rFonts w:ascii="Book Antiqua" w:hAnsi="Book Antiqua"/>
          <w:sz w:val="22"/>
        </w:rPr>
        <w:t xml:space="preserve"> Caso a licitante não negocie o valor proposto, através do CHAT MENSAGEM, no prazo máximo </w:t>
      </w:r>
      <w:r>
        <w:rPr>
          <w:rFonts w:ascii="Book Antiqua" w:hAnsi="Book Antiqua"/>
          <w:spacing w:val="2"/>
          <w:sz w:val="22"/>
        </w:rPr>
        <w:t>de 10 (dez) minutos</w:t>
      </w:r>
      <w:r>
        <w:rPr>
          <w:rFonts w:ascii="Book Antiqua" w:hAnsi="Book Antiqua"/>
          <w:sz w:val="22"/>
        </w:rPr>
        <w:t>, o Pregoeiro poderá desclassificar a licitante no item, cujo preço seja superior ao estimado para a contratação, valores apurados pelo setor de Pesquisas de Preços/Gerência de Compras da Prefeitura de Ariquemes/RO.</w:t>
      </w:r>
    </w:p>
    <w:p>
      <w:pPr>
        <w:pStyle w:val="56"/>
        <w:widowControl w:val="0"/>
        <w:tabs>
          <w:tab w:val="left" w:pos="440"/>
        </w:tabs>
        <w:spacing w:after="120"/>
        <w:ind w:left="0"/>
        <w:rPr>
          <w:rFonts w:ascii="Book Antiqua" w:hAnsi="Book Antiqua"/>
          <w:sz w:val="22"/>
        </w:rPr>
      </w:pPr>
    </w:p>
    <w:p>
      <w:pPr>
        <w:pStyle w:val="59"/>
        <w:widowControl w:val="0"/>
        <w:numPr>
          <w:ilvl w:val="0"/>
          <w:numId w:val="9"/>
        </w:numPr>
        <w:pBdr>
          <w:top w:val="single" w:color="auto" w:sz="4" w:space="1"/>
          <w:left w:val="single" w:color="auto" w:sz="4" w:space="4"/>
          <w:bottom w:val="single" w:color="auto" w:sz="4" w:space="1"/>
          <w:right w:val="single" w:color="auto" w:sz="4" w:space="4"/>
        </w:pBdr>
        <w:shd w:val="clear" w:color="auto" w:fill="D8D8D8" w:themeFill="background1" w:themeFillShade="D9"/>
        <w:tabs>
          <w:tab w:val="left" w:pos="567"/>
          <w:tab w:val="clear" w:pos="480"/>
        </w:tabs>
        <w:snapToGrid/>
        <w:spacing w:after="120"/>
        <w:ind w:left="0" w:firstLine="0"/>
        <w:rPr>
          <w:rFonts w:ascii="Book Antiqua" w:hAnsi="Book Antiqua"/>
          <w:color w:val="0000FF"/>
          <w:spacing w:val="2"/>
          <w:sz w:val="22"/>
        </w:rPr>
      </w:pPr>
      <w:r>
        <w:rPr>
          <w:rFonts w:ascii="Book Antiqua" w:hAnsi="Book Antiqua"/>
          <w:b/>
          <w:color w:val="0000FF"/>
          <w:sz w:val="22"/>
        </w:rPr>
        <w:t>DA ACEITAÇÃO DA PROPOSTA VENCEDORA;</w:t>
      </w:r>
    </w:p>
    <w:p>
      <w:pPr>
        <w:pStyle w:val="59"/>
        <w:widowControl w:val="0"/>
        <w:numPr>
          <w:ilvl w:val="1"/>
          <w:numId w:val="9"/>
        </w:numPr>
        <w:tabs>
          <w:tab w:val="left" w:pos="0"/>
          <w:tab w:val="clear" w:pos="720"/>
        </w:tabs>
        <w:snapToGrid/>
        <w:spacing w:after="120"/>
        <w:ind w:left="0" w:firstLine="0"/>
        <w:rPr>
          <w:rFonts w:ascii="Book Antiqua" w:hAnsi="Book Antiqua"/>
          <w:spacing w:val="2"/>
          <w:sz w:val="22"/>
        </w:rPr>
      </w:pPr>
      <w:r>
        <w:rPr>
          <w:rFonts w:ascii="Book Antiqua" w:hAnsi="Book Antiqua"/>
          <w:sz w:val="22"/>
        </w:rPr>
        <w:t xml:space="preserve">Encerrada </w:t>
      </w:r>
      <w:r>
        <w:rPr>
          <w:rFonts w:ascii="Book Antiqua" w:hAnsi="Book Antiqua"/>
          <w:color w:val="000000"/>
          <w:sz w:val="22"/>
        </w:rPr>
        <w:t>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Federal n.º 10.024/2019.</w:t>
      </w:r>
    </w:p>
    <w:p>
      <w:pPr>
        <w:pStyle w:val="83"/>
        <w:numPr>
          <w:ilvl w:val="2"/>
          <w:numId w:val="9"/>
        </w:numPr>
        <w:tabs>
          <w:tab w:val="left" w:pos="709"/>
          <w:tab w:val="clear" w:pos="1288"/>
        </w:tabs>
        <w:spacing w:after="120"/>
        <w:ind w:left="660" w:firstLine="0"/>
        <w:contextualSpacing w:val="0"/>
        <w:jc w:val="both"/>
        <w:rPr>
          <w:rFonts w:ascii="Book Antiqua" w:hAnsi="Book Antiqua"/>
          <w:b/>
          <w:sz w:val="22"/>
        </w:rPr>
      </w:pPr>
      <w:r>
        <w:rPr>
          <w:rFonts w:ascii="Book Antiqua" w:hAnsi="Book Antiqua"/>
          <w:color w:val="000000"/>
          <w:sz w:val="22"/>
          <w:szCs w:val="22"/>
        </w:rPr>
        <w:t>Será desclassificada a proposta ou o lance vencedor que apresentar preço final superior ao preço máximo fixado (Acórdão nº 1455/2018 -TCU – Plenário e Decisão nº. 263/2014- PLENO/TCE-RO) e ainda conforme previsto no art. 48, inciso II, da Lei 8.666/93 ou que apresentar preço manifestamente inexequível.</w:t>
      </w:r>
    </w:p>
    <w:p>
      <w:pPr>
        <w:pStyle w:val="83"/>
        <w:numPr>
          <w:ilvl w:val="2"/>
          <w:numId w:val="9"/>
        </w:numPr>
        <w:tabs>
          <w:tab w:val="left" w:pos="709"/>
          <w:tab w:val="clear" w:pos="1288"/>
        </w:tabs>
        <w:spacing w:after="120"/>
        <w:ind w:left="660" w:firstLine="0"/>
        <w:contextualSpacing w:val="0"/>
        <w:jc w:val="both"/>
        <w:rPr>
          <w:rFonts w:ascii="Book Antiqua" w:hAnsi="Book Antiqua"/>
          <w:color w:val="000000" w:themeColor="text1"/>
          <w:sz w:val="22"/>
          <w:szCs w:val="22"/>
          <w:lang w:eastAsia="en-US"/>
        </w:rPr>
      </w:pPr>
      <w:r>
        <w:rPr>
          <w:rFonts w:ascii="Book Antiqua" w:hAnsi="Book Antiqua"/>
          <w:sz w:val="22"/>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Pr>
          <w:rFonts w:ascii="Book Antiqua" w:hAnsi="Book Antiqua"/>
          <w:i/>
          <w:sz w:val="22"/>
        </w:rPr>
        <w:t> </w:t>
      </w:r>
    </w:p>
    <w:p>
      <w:pPr>
        <w:pStyle w:val="83"/>
        <w:numPr>
          <w:ilvl w:val="1"/>
          <w:numId w:val="9"/>
        </w:numPr>
        <w:tabs>
          <w:tab w:val="left" w:pos="709"/>
          <w:tab w:val="clear" w:pos="720"/>
        </w:tabs>
        <w:spacing w:after="120"/>
        <w:ind w:left="0" w:firstLine="0"/>
        <w:contextualSpacing w:val="0"/>
        <w:jc w:val="both"/>
        <w:rPr>
          <w:rFonts w:ascii="Book Antiqua" w:hAnsi="Book Antiqua"/>
          <w:color w:val="000000" w:themeColor="text1"/>
          <w:sz w:val="22"/>
          <w:szCs w:val="22"/>
          <w:lang w:eastAsia="en-US"/>
        </w:rPr>
      </w:pPr>
      <w:r>
        <w:rPr>
          <w:rFonts w:ascii="Book Antiqua" w:hAnsi="Book Antiqua"/>
          <w:color w:val="000000" w:themeColor="text1"/>
          <w:sz w:val="22"/>
          <w:szCs w:val="22"/>
          <w:lang w:eastAsia="en-US"/>
        </w:rPr>
        <w:t>Qualquer interessado poderá requerer que se realizem diligências para aferir a exequibilidade e a legalidade das propostas, devendo apresentar as provas ou os indícios que fundamentam a suspeita.</w:t>
      </w:r>
    </w:p>
    <w:p>
      <w:pPr>
        <w:pStyle w:val="83"/>
        <w:numPr>
          <w:ilvl w:val="1"/>
          <w:numId w:val="9"/>
        </w:numPr>
        <w:tabs>
          <w:tab w:val="left" w:pos="709"/>
          <w:tab w:val="clear" w:pos="720"/>
        </w:tabs>
        <w:spacing w:after="100"/>
        <w:ind w:left="0" w:firstLine="0"/>
        <w:contextualSpacing w:val="0"/>
        <w:jc w:val="both"/>
        <w:rPr>
          <w:rFonts w:ascii="Book Antiqua" w:hAnsi="Book Antiqua"/>
          <w:color w:val="000000" w:themeColor="text1"/>
          <w:sz w:val="22"/>
          <w:szCs w:val="22"/>
          <w:lang w:eastAsia="en-US"/>
        </w:rPr>
      </w:pPr>
      <w:r>
        <w:rPr>
          <w:rFonts w:ascii="Book Antiqua" w:hAnsi="Book Antiqua"/>
          <w:color w:val="000000" w:themeColor="text1"/>
          <w:sz w:val="22"/>
          <w:szCs w:val="22"/>
          <w:lang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32"/>
        <w:widowControl w:val="0"/>
        <w:numPr>
          <w:ilvl w:val="0"/>
          <w:numId w:val="9"/>
        </w:numPr>
        <w:pBdr>
          <w:top w:val="single" w:color="auto" w:sz="4" w:space="1"/>
          <w:left w:val="single" w:color="auto" w:sz="4" w:space="4"/>
          <w:bottom w:val="single" w:color="auto" w:sz="4" w:space="1"/>
          <w:right w:val="single" w:color="auto" w:sz="4" w:space="4"/>
          <w:between w:val="single" w:color="auto" w:sz="4" w:space="1"/>
        </w:pBdr>
        <w:shd w:val="clear" w:color="auto" w:fill="D8D8D8" w:themeFill="background1" w:themeFillShade="D9"/>
        <w:tabs>
          <w:tab w:val="left" w:pos="180"/>
          <w:tab w:val="clear" w:pos="480"/>
        </w:tabs>
        <w:ind w:left="0" w:firstLine="0"/>
        <w:jc w:val="both"/>
        <w:rPr>
          <w:rFonts w:ascii="Book Antiqua" w:hAnsi="Book Antiqua"/>
          <w:color w:val="0000FF"/>
          <w:sz w:val="22"/>
        </w:rPr>
      </w:pPr>
      <w:r>
        <w:rPr>
          <w:rFonts w:ascii="Book Antiqua" w:hAnsi="Book Antiqua"/>
          <w:color w:val="0000FF"/>
          <w:sz w:val="22"/>
        </w:rPr>
        <w:t>DA PROPOSTA FINAL ATUALIZADA</w:t>
      </w:r>
    </w:p>
    <w:p>
      <w:pPr>
        <w:pStyle w:val="83"/>
        <w:numPr>
          <w:ilvl w:val="1"/>
          <w:numId w:val="9"/>
        </w:numPr>
        <w:tabs>
          <w:tab w:val="left" w:pos="660"/>
          <w:tab w:val="clear" w:pos="720"/>
        </w:tabs>
        <w:spacing w:before="120" w:after="120" w:line="276" w:lineRule="auto"/>
        <w:ind w:left="0" w:firstLine="0"/>
        <w:contextualSpacing w:val="0"/>
        <w:jc w:val="both"/>
        <w:rPr>
          <w:rFonts w:ascii="Book Antiqua" w:hAnsi="Book Antiqua"/>
          <w:sz w:val="22"/>
          <w:szCs w:val="22"/>
          <w:lang w:eastAsia="en-US"/>
        </w:rPr>
      </w:pPr>
      <w:r>
        <w:rPr>
          <w:rFonts w:ascii="Book Antiqua" w:hAnsi="Book Antiqua" w:cs="Book Antiqua"/>
          <w:sz w:val="22"/>
          <w:szCs w:val="22"/>
        </w:rPr>
        <w:t xml:space="preserve">Encerrada </w:t>
      </w:r>
      <w:r>
        <w:rPr>
          <w:rFonts w:ascii="Book Antiqua" w:hAnsi="Book Antiqua" w:cs="Book Antiqua"/>
          <w:color w:val="000000"/>
          <w:sz w:val="22"/>
          <w:szCs w:val="22"/>
        </w:rPr>
        <w:t>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pPr>
        <w:pStyle w:val="83"/>
        <w:numPr>
          <w:ilvl w:val="1"/>
          <w:numId w:val="9"/>
        </w:numPr>
        <w:tabs>
          <w:tab w:val="left" w:pos="567"/>
          <w:tab w:val="clear" w:pos="720"/>
        </w:tabs>
        <w:spacing w:after="100"/>
        <w:ind w:left="0" w:right="-15" w:firstLine="0"/>
        <w:contextualSpacing w:val="0"/>
        <w:jc w:val="both"/>
        <w:rPr>
          <w:rFonts w:ascii="Book Antiqua" w:hAnsi="Book Antiqua"/>
          <w:color w:val="000000" w:themeColor="text1"/>
          <w:sz w:val="22"/>
          <w:szCs w:val="22"/>
          <w:lang w:eastAsia="en-US"/>
        </w:rPr>
      </w:pPr>
      <w:r>
        <w:rPr>
          <w:rFonts w:ascii="Book Antiqua" w:hAnsi="Book Antiqua"/>
          <w:color w:val="000000"/>
          <w:sz w:val="22"/>
          <w:szCs w:val="22"/>
        </w:rPr>
        <w:t xml:space="preserve">O pregoeiro solicitará ao licitante </w:t>
      </w:r>
      <w:r>
        <w:rPr>
          <w:rFonts w:ascii="Book Antiqua" w:hAnsi="Book Antiqua"/>
          <w:color w:val="000000" w:themeColor="text1"/>
          <w:sz w:val="22"/>
          <w:szCs w:val="22"/>
        </w:rPr>
        <w:t xml:space="preserve">melhor classificado </w:t>
      </w:r>
      <w:r>
        <w:rPr>
          <w:rFonts w:ascii="Book Antiqua" w:hAnsi="Book Antiqua"/>
          <w:color w:val="000000"/>
          <w:sz w:val="22"/>
          <w:szCs w:val="22"/>
        </w:rPr>
        <w:t xml:space="preserve">que, </w:t>
      </w:r>
      <w:r>
        <w:rPr>
          <w:rFonts w:ascii="Book Antiqua" w:hAnsi="Book Antiqua"/>
          <w:color w:val="000000" w:themeColor="text1"/>
          <w:sz w:val="22"/>
          <w:szCs w:val="22"/>
        </w:rPr>
        <w:t xml:space="preserve">no prazo de </w:t>
      </w:r>
      <w:r>
        <w:rPr>
          <w:rFonts w:ascii="Book Antiqua" w:hAnsi="Book Antiqua"/>
          <w:b/>
          <w:bCs/>
          <w:color w:val="FF0000"/>
          <w:sz w:val="22"/>
          <w:szCs w:val="22"/>
          <w:highlight w:val="yellow"/>
          <w:u w:val="single"/>
        </w:rPr>
        <w:t>120 (cento e vinte)</w:t>
      </w:r>
      <w:r>
        <w:rPr>
          <w:rFonts w:ascii="Book Antiqua" w:hAnsi="Book Antiqua"/>
          <w:i/>
          <w:iCs/>
          <w:color w:val="000000" w:themeColor="text1"/>
          <w:sz w:val="22"/>
          <w:szCs w:val="22"/>
        </w:rPr>
        <w:t xml:space="preserve"> </w:t>
      </w:r>
      <w:r>
        <w:rPr>
          <w:rFonts w:ascii="Book Antiqua" w:hAnsi="Book Antiqua"/>
          <w:color w:val="000000" w:themeColor="text1"/>
          <w:sz w:val="22"/>
          <w:szCs w:val="22"/>
        </w:rPr>
        <w:t xml:space="preserve">minutos, envie </w:t>
      </w:r>
      <w:r>
        <w:rPr>
          <w:rFonts w:ascii="Book Antiqua" w:hAnsi="Book Antiqua"/>
          <w:color w:val="000000"/>
          <w:sz w:val="22"/>
          <w:szCs w:val="22"/>
        </w:rPr>
        <w:t>a proposta adequada ao último lance ofertado após a negociação realizada, acompanhada, se for o caso, dos documentos complementares, quando necessários à confirmação daqueles exigidos neste Edital e já apresentados. Observar o modelo do anexo II – Formulário de Apresentação da Proposta.</w:t>
      </w:r>
    </w:p>
    <w:p>
      <w:pPr>
        <w:pStyle w:val="83"/>
        <w:numPr>
          <w:ilvl w:val="1"/>
          <w:numId w:val="9"/>
        </w:numPr>
        <w:tabs>
          <w:tab w:val="left" w:pos="567"/>
          <w:tab w:val="clear" w:pos="720"/>
        </w:tabs>
        <w:spacing w:after="100"/>
        <w:ind w:left="0" w:right="-15" w:firstLine="0"/>
        <w:contextualSpacing w:val="0"/>
        <w:jc w:val="both"/>
        <w:rPr>
          <w:rFonts w:ascii="Book Antiqua" w:hAnsi="Book Antiqua"/>
          <w:color w:val="000000" w:themeColor="text1"/>
          <w:sz w:val="22"/>
          <w:szCs w:val="22"/>
          <w:lang w:eastAsia="en-US"/>
        </w:rPr>
      </w:pPr>
      <w:r>
        <w:rPr>
          <w:rFonts w:ascii="Book Antiqua" w:hAnsi="Book Antiqua"/>
          <w:color w:val="000000" w:themeColor="text1"/>
          <w:sz w:val="22"/>
          <w:szCs w:val="22"/>
          <w:lang w:eastAsia="en-US"/>
        </w:rPr>
        <w:t>A proposta enviada via sistema, após convocação do Pregoeiro, deverá obedecer às condições previstas   no item 9 e subitens deste Edital.</w:t>
      </w:r>
    </w:p>
    <w:p>
      <w:pPr>
        <w:pStyle w:val="83"/>
        <w:numPr>
          <w:ilvl w:val="2"/>
          <w:numId w:val="9"/>
        </w:numPr>
        <w:tabs>
          <w:tab w:val="left" w:pos="567"/>
          <w:tab w:val="clear" w:pos="1288"/>
        </w:tabs>
        <w:spacing w:after="100"/>
        <w:ind w:left="660" w:right="-15" w:firstLine="0"/>
        <w:contextualSpacing w:val="0"/>
        <w:jc w:val="both"/>
        <w:rPr>
          <w:rFonts w:ascii="Book Antiqua" w:hAnsi="Book Antiqua"/>
          <w:bCs/>
          <w:sz w:val="22"/>
          <w:szCs w:val="22"/>
        </w:rPr>
      </w:pPr>
      <w:r>
        <w:rPr>
          <w:rFonts w:ascii="Book Antiqua" w:hAnsi="Book Antiqua"/>
          <w:color w:val="000000" w:themeColor="text1"/>
          <w:sz w:val="22"/>
          <w:szCs w:val="22"/>
        </w:rPr>
        <w:t xml:space="preserve">O ENVIO DA </w:t>
      </w:r>
      <w:r>
        <w:rPr>
          <w:rFonts w:ascii="Book Antiqua" w:hAnsi="Book Antiqua"/>
          <w:color w:val="000000" w:themeColor="text1"/>
          <w:sz w:val="22"/>
          <w:szCs w:val="22"/>
          <w:u w:val="single"/>
        </w:rPr>
        <w:t>PROPOSTA DE PREÇOS AJUSTADA, E SEUS ANEXOS (QUANDO SOLICITADO)</w:t>
      </w:r>
      <w:r>
        <w:rPr>
          <w:rFonts w:ascii="Book Antiqua" w:hAnsi="Book Antiqua"/>
          <w:color w:val="000000" w:themeColor="text1"/>
          <w:sz w:val="22"/>
          <w:szCs w:val="22"/>
        </w:rPr>
        <w:t xml:space="preserve">, DEVERÁ SER ANEXADA CORRETAMENTE NO SISTEMA COMPRASNET, SENDO A MESMA COMPACTADA EM 01 (UM) ÚNICO ARQUIVO </w:t>
      </w:r>
      <w:r>
        <w:rPr>
          <w:rFonts w:ascii="Book Antiqua" w:hAnsi="Book Antiqua"/>
          <w:color w:val="000000" w:themeColor="text1"/>
          <w:sz w:val="22"/>
          <w:szCs w:val="22"/>
          <w:u w:val="single"/>
        </w:rPr>
        <w:t>(excel, word, Zip,  doc, docx, .JPG ou PDF</w:t>
      </w:r>
      <w:r>
        <w:rPr>
          <w:rFonts w:ascii="Book Antiqua" w:hAnsi="Book Antiqua"/>
          <w:color w:val="000000" w:themeColor="text1"/>
          <w:sz w:val="22"/>
          <w:szCs w:val="22"/>
        </w:rPr>
        <w:t>), TENDO EM VISTA QUE O CAMPO DE INSERÇÃO É ÚNICO;</w:t>
      </w:r>
    </w:p>
    <w:p>
      <w:pPr>
        <w:pStyle w:val="83"/>
        <w:numPr>
          <w:ilvl w:val="2"/>
          <w:numId w:val="9"/>
        </w:numPr>
        <w:tabs>
          <w:tab w:val="left" w:pos="567"/>
          <w:tab w:val="clear" w:pos="1288"/>
        </w:tabs>
        <w:spacing w:after="100"/>
        <w:ind w:left="660" w:right="-15" w:firstLine="0"/>
        <w:contextualSpacing w:val="0"/>
        <w:jc w:val="both"/>
        <w:rPr>
          <w:rFonts w:ascii="Book Antiqua" w:hAnsi="Book Antiqua"/>
          <w:color w:val="000000" w:themeColor="text1"/>
          <w:sz w:val="22"/>
          <w:szCs w:val="22"/>
          <w:lang w:eastAsia="en-US"/>
        </w:rPr>
      </w:pPr>
      <w:r>
        <w:rPr>
          <w:rFonts w:ascii="Book Antiqua" w:hAnsi="Book Antiqua"/>
          <w:sz w:val="22"/>
          <w:szCs w:val="22"/>
        </w:rPr>
        <w:t>O PREGOEIRO CONVOCARÁ SOMENTE 01 (UM) ÚNICO ITEM PARA ANEXO DA PROPOSTA DE PREÇOS NO SISTEMA COMPRASNET, ONDE TERÁ EFEITO PARA TODOS OS ITENS, OS QUAIS A EMPRESA ENCONTRA-SE PARTICIPANDO.</w:t>
      </w:r>
    </w:p>
    <w:p>
      <w:pPr>
        <w:pStyle w:val="83"/>
        <w:numPr>
          <w:ilvl w:val="2"/>
          <w:numId w:val="9"/>
        </w:numPr>
        <w:tabs>
          <w:tab w:val="left" w:pos="567"/>
          <w:tab w:val="clear" w:pos="1288"/>
        </w:tabs>
        <w:spacing w:after="100"/>
        <w:ind w:left="660" w:right="-15" w:firstLine="0"/>
        <w:contextualSpacing w:val="0"/>
        <w:jc w:val="both"/>
        <w:rPr>
          <w:rFonts w:ascii="Book Antiqua" w:hAnsi="Book Antiqua"/>
          <w:color w:val="000000" w:themeColor="text1"/>
          <w:sz w:val="22"/>
          <w:szCs w:val="22"/>
          <w:lang w:eastAsia="en-US"/>
        </w:rPr>
      </w:pPr>
      <w:r>
        <w:rPr>
          <w:rFonts w:ascii="Book Antiqua" w:hAnsi="Book Antiqua"/>
          <w:color w:val="000000" w:themeColor="text1"/>
          <w:sz w:val="22"/>
          <w:szCs w:val="22"/>
          <w:lang w:eastAsia="en-US"/>
        </w:rPr>
        <w:t xml:space="preserve">O prazo estabelecido poderá ser prorrogado pelo Pregoeiro por solicitação escrita e justificada do licitante, formulada antes de finalizado o prazo, e formalmente aceito pelo Pregoeiro. </w:t>
      </w:r>
    </w:p>
    <w:p>
      <w:pPr>
        <w:pStyle w:val="83"/>
        <w:numPr>
          <w:ilvl w:val="1"/>
          <w:numId w:val="9"/>
        </w:numPr>
        <w:tabs>
          <w:tab w:val="left" w:pos="567"/>
          <w:tab w:val="clear" w:pos="720"/>
        </w:tabs>
        <w:spacing w:after="100"/>
        <w:ind w:left="0" w:right="-15" w:firstLine="0"/>
        <w:contextualSpacing w:val="0"/>
        <w:jc w:val="both"/>
        <w:rPr>
          <w:rFonts w:ascii="Book Antiqua" w:hAnsi="Book Antiqua"/>
          <w:color w:val="000000" w:themeColor="text1"/>
          <w:sz w:val="22"/>
          <w:szCs w:val="22"/>
          <w:lang w:eastAsia="en-US"/>
        </w:rPr>
      </w:pPr>
      <w:r>
        <w:rPr>
          <w:rFonts w:ascii="Book Antiqua" w:hAnsi="Book Antiqua"/>
          <w:sz w:val="22"/>
          <w:szCs w:val="22"/>
          <w:lang w:eastAsia="en-US"/>
        </w:rPr>
        <w:t>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p>
    <w:p>
      <w:pPr>
        <w:pStyle w:val="83"/>
        <w:numPr>
          <w:ilvl w:val="1"/>
          <w:numId w:val="9"/>
        </w:numPr>
        <w:tabs>
          <w:tab w:val="left" w:pos="567"/>
          <w:tab w:val="clear" w:pos="720"/>
        </w:tabs>
        <w:spacing w:after="100"/>
        <w:ind w:left="0" w:right="-15" w:firstLine="0"/>
        <w:contextualSpacing w:val="0"/>
        <w:jc w:val="both"/>
        <w:rPr>
          <w:rFonts w:ascii="Book Antiqua" w:hAnsi="Book Antiqua"/>
          <w:color w:val="000000" w:themeColor="text1"/>
          <w:sz w:val="22"/>
          <w:szCs w:val="22"/>
          <w:lang w:eastAsia="en-US"/>
        </w:rPr>
      </w:pPr>
      <w:r>
        <w:rPr>
          <w:rFonts w:ascii="Book Antiqua" w:hAnsi="Book Antiqua"/>
          <w:color w:val="000000" w:themeColor="text1"/>
          <w:sz w:val="22"/>
          <w:szCs w:val="22"/>
          <w:lang w:eastAsia="en-US"/>
        </w:rPr>
        <w:t>Se a proposta ou lance vencedor for desclassificado, o Pregoeiro examinará a proposta ou lance subsequente, e, assim sucessivamente, na ordem de classificação.</w:t>
      </w:r>
    </w:p>
    <w:p>
      <w:pPr>
        <w:pStyle w:val="83"/>
        <w:numPr>
          <w:ilvl w:val="1"/>
          <w:numId w:val="9"/>
        </w:numPr>
        <w:tabs>
          <w:tab w:val="left" w:pos="567"/>
          <w:tab w:val="clear" w:pos="720"/>
        </w:tabs>
        <w:spacing w:after="100"/>
        <w:ind w:left="0" w:right="-15" w:firstLine="0"/>
        <w:contextualSpacing w:val="0"/>
        <w:jc w:val="both"/>
        <w:rPr>
          <w:rFonts w:ascii="Book Antiqua" w:hAnsi="Book Antiqua"/>
          <w:color w:val="000000" w:themeColor="text1"/>
          <w:sz w:val="22"/>
          <w:szCs w:val="22"/>
          <w:lang w:eastAsia="en-US"/>
        </w:rPr>
      </w:pPr>
      <w:r>
        <w:rPr>
          <w:rFonts w:ascii="Book Antiqua" w:hAnsi="Book Antiqua"/>
          <w:color w:val="000000" w:themeColor="text1"/>
          <w:sz w:val="22"/>
          <w:szCs w:val="22"/>
          <w:lang w:eastAsia="en-US"/>
        </w:rPr>
        <w:t>Havendo necessidade, o Pregoeiro suspenderá a sessão, informando no “chat” a nova data e horário para a sua continuidade.</w:t>
      </w:r>
    </w:p>
    <w:p>
      <w:pPr>
        <w:pStyle w:val="83"/>
        <w:numPr>
          <w:ilvl w:val="1"/>
          <w:numId w:val="9"/>
        </w:numPr>
        <w:tabs>
          <w:tab w:val="left" w:pos="567"/>
          <w:tab w:val="clear" w:pos="720"/>
        </w:tabs>
        <w:spacing w:after="100"/>
        <w:ind w:left="0" w:right="-15" w:firstLine="0"/>
        <w:contextualSpacing w:val="0"/>
        <w:jc w:val="both"/>
        <w:rPr>
          <w:rFonts w:ascii="Book Antiqua" w:hAnsi="Book Antiqua" w:cs="Book Antiqua"/>
          <w:b/>
          <w:sz w:val="22"/>
          <w:szCs w:val="22"/>
        </w:rPr>
      </w:pPr>
      <w:r>
        <w:rPr>
          <w:rFonts w:ascii="Book Antiqua" w:hAnsi="Book Antiqua"/>
          <w:color w:val="000000" w:themeColor="text1"/>
          <w:sz w:val="22"/>
          <w:szCs w:val="22"/>
          <w:lang w:eastAsia="en-US"/>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83"/>
        <w:numPr>
          <w:ilvl w:val="1"/>
          <w:numId w:val="9"/>
        </w:numPr>
        <w:tabs>
          <w:tab w:val="left" w:pos="567"/>
          <w:tab w:val="clear" w:pos="720"/>
        </w:tabs>
        <w:spacing w:after="100"/>
        <w:ind w:left="0" w:right="-15" w:firstLine="0"/>
        <w:contextualSpacing w:val="0"/>
        <w:jc w:val="both"/>
        <w:rPr>
          <w:rFonts w:ascii="Book Antiqua" w:hAnsi="Book Antiqua" w:cs="Book Antiqua"/>
          <w:b/>
          <w:sz w:val="22"/>
          <w:szCs w:val="22"/>
        </w:rPr>
      </w:pPr>
      <w:r>
        <w:rPr>
          <w:rFonts w:ascii="Book Antiqua" w:hAnsi="Book Antiqua"/>
          <w:color w:val="000000" w:themeColor="text1"/>
          <w:sz w:val="22"/>
          <w:szCs w:val="22"/>
        </w:rPr>
        <w:t>Serão aceitos somente lances em moeda corrente nacional (R$), com VALORES UNITÁRIOS E TOTAIS com no máximo 02 (duas) casas decimais, considerando as quantidades constantes no ANEXO I – TERMO DE REFERÊNCIA</w:t>
      </w:r>
      <w:r>
        <w:rPr>
          <w:rFonts w:ascii="Book Antiqua" w:hAnsi="Book Antiqua"/>
          <w:sz w:val="22"/>
          <w:szCs w:val="22"/>
        </w:rPr>
        <w:t xml:space="preserve">. </w:t>
      </w:r>
      <w:r>
        <w:rPr>
          <w:rFonts w:ascii="Book Antiqua" w:hAnsi="Book Antiqua"/>
          <w:color w:val="000000"/>
          <w:spacing w:val="2"/>
          <w:sz w:val="22"/>
          <w:szCs w:val="22"/>
        </w:rPr>
        <w:t>Caso seja encerrada a fase de lances, e a licitante divergir com o e</w:t>
      </w:r>
      <w:r>
        <w:rPr>
          <w:rFonts w:ascii="Book Antiqua" w:hAnsi="Book Antiqua" w:cs="Book Antiqua"/>
          <w:color w:val="000000"/>
          <w:spacing w:val="2"/>
          <w:sz w:val="22"/>
          <w:szCs w:val="22"/>
        </w:rPr>
        <w:t xml:space="preserve">xigido, o pregoeiro, poderá convocar no CHAT MENSAGEM para atualização do referido </w:t>
      </w:r>
      <w:r>
        <w:rPr>
          <w:rFonts w:ascii="Book Antiqua" w:hAnsi="Book Antiqua" w:cs="Book Antiqua"/>
          <w:spacing w:val="2"/>
          <w:sz w:val="22"/>
          <w:szCs w:val="22"/>
        </w:rPr>
        <w:t>lance, e/ou realizar a atualização dos valores arredondando-os PARA MENOS.</w:t>
      </w:r>
    </w:p>
    <w:p>
      <w:pPr>
        <w:pStyle w:val="56"/>
        <w:widowControl w:val="0"/>
        <w:numPr>
          <w:ilvl w:val="1"/>
          <w:numId w:val="9"/>
        </w:numPr>
        <w:tabs>
          <w:tab w:val="left" w:pos="567"/>
          <w:tab w:val="clear" w:pos="720"/>
        </w:tabs>
        <w:spacing w:after="100"/>
        <w:ind w:left="0" w:firstLine="0"/>
        <w:rPr>
          <w:rFonts w:ascii="Book Antiqua" w:hAnsi="Book Antiqua" w:cs="Book Antiqua"/>
          <w:sz w:val="22"/>
        </w:rPr>
      </w:pPr>
      <w:r>
        <w:rPr>
          <w:rFonts w:ascii="Book Antiqua" w:hAnsi="Book Antiqua" w:cs="Book Antiqua"/>
          <w:spacing w:val="2"/>
          <w:sz w:val="22"/>
          <w:highlight w:val="lightGray"/>
        </w:rPr>
        <w:t xml:space="preserve">DAS CORREÇÕES ADMISSÍVEIS; </w:t>
      </w:r>
    </w:p>
    <w:p>
      <w:pPr>
        <w:pStyle w:val="56"/>
        <w:widowControl w:val="0"/>
        <w:numPr>
          <w:ilvl w:val="2"/>
          <w:numId w:val="9"/>
        </w:numPr>
        <w:tabs>
          <w:tab w:val="left" w:pos="567"/>
          <w:tab w:val="left" w:pos="1320"/>
          <w:tab w:val="clear" w:pos="1288"/>
        </w:tabs>
        <w:spacing w:after="100"/>
        <w:ind w:left="440" w:firstLine="0"/>
        <w:rPr>
          <w:rFonts w:ascii="Book Antiqua" w:hAnsi="Book Antiqua" w:cs="Book Antiqua"/>
          <w:sz w:val="22"/>
        </w:rPr>
      </w:pPr>
      <w:r>
        <w:rPr>
          <w:rFonts w:ascii="Book Antiqua" w:hAnsi="Book Antiqua" w:eastAsia="TimesNewRomanPSMT" w:cs="Book Antiqua"/>
          <w:color w:val="000000"/>
          <w:sz w:val="22"/>
          <w:lang w:val="en-US" w:eastAsia="zh-CN" w:bidi="ar"/>
        </w:rPr>
        <w:t>Nos casos em que o Pregoeiro</w:t>
      </w:r>
      <w:r>
        <w:rPr>
          <w:rFonts w:ascii="Book Antiqua" w:hAnsi="Book Antiqua" w:eastAsia="TimesNewRomanPSMT" w:cs="Book Antiqua"/>
          <w:color w:val="000000"/>
          <w:sz w:val="22"/>
          <w:lang w:eastAsia="zh-CN" w:bidi="ar"/>
        </w:rPr>
        <w:t xml:space="preserve"> </w:t>
      </w:r>
      <w:r>
        <w:rPr>
          <w:rFonts w:ascii="Book Antiqua" w:hAnsi="Book Antiqua" w:eastAsia="TimesNewRomanPSMT" w:cs="Book Antiqua"/>
          <w:color w:val="000000"/>
          <w:sz w:val="22"/>
          <w:lang w:val="en-US" w:eastAsia="zh-CN" w:bidi="ar"/>
        </w:rPr>
        <w:t xml:space="preserve">constatar a existência de erros numéricos nas propostas de preços, sendo estes não significativos, proceder-se-á as correções necessárias para a apuração do preço final da proposta, obedecendo às seguintes disposições: </w:t>
      </w:r>
    </w:p>
    <w:p>
      <w:pPr>
        <w:pStyle w:val="56"/>
        <w:widowControl w:val="0"/>
        <w:numPr>
          <w:ilvl w:val="2"/>
          <w:numId w:val="9"/>
        </w:numPr>
        <w:tabs>
          <w:tab w:val="left" w:pos="567"/>
          <w:tab w:val="left" w:pos="1320"/>
          <w:tab w:val="clear" w:pos="1288"/>
        </w:tabs>
        <w:spacing w:after="100"/>
        <w:ind w:left="440" w:firstLine="0"/>
        <w:rPr>
          <w:rFonts w:ascii="Book Antiqua" w:hAnsi="Book Antiqua" w:cs="Book Antiqua"/>
          <w:sz w:val="22"/>
        </w:rPr>
      </w:pPr>
      <w:r>
        <w:rPr>
          <w:rFonts w:ascii="Book Antiqua" w:hAnsi="Book Antiqua" w:eastAsia="TimesNewRomanPSMT" w:cs="Book Antiqua"/>
          <w:color w:val="000000"/>
          <w:sz w:val="22"/>
          <w:lang w:val="en-US" w:eastAsia="zh-CN" w:bidi="ar"/>
        </w:rPr>
        <w:t xml:space="preserve">Havendo divergências entre o preço final registrado sob a forma numérica e o valor apresentado por extenso, prevalecerá este último; </w:t>
      </w:r>
    </w:p>
    <w:p>
      <w:pPr>
        <w:pStyle w:val="56"/>
        <w:widowControl w:val="0"/>
        <w:numPr>
          <w:ilvl w:val="2"/>
          <w:numId w:val="9"/>
        </w:numPr>
        <w:tabs>
          <w:tab w:val="left" w:pos="567"/>
          <w:tab w:val="left" w:pos="1320"/>
          <w:tab w:val="clear" w:pos="1288"/>
        </w:tabs>
        <w:spacing w:after="100"/>
        <w:ind w:left="440" w:firstLine="0"/>
        <w:rPr>
          <w:rFonts w:ascii="Book Antiqua" w:hAnsi="Book Antiqua"/>
          <w:b/>
          <w:sz w:val="22"/>
        </w:rPr>
      </w:pPr>
      <w:r>
        <w:rPr>
          <w:rFonts w:ascii="Book Antiqua" w:hAnsi="Book Antiqua" w:eastAsia="TimesNewRomanPSMT" w:cs="Book Antiqua"/>
          <w:color w:val="000000"/>
          <w:sz w:val="22"/>
          <w:lang w:val="en-US" w:eastAsia="zh-CN" w:bidi="ar"/>
        </w:rPr>
        <w:t>Havendo divergências nos subtotais, provenientes dos produtos de quantitativos por preços unitários, o(a) Pregoeiro(a) procederá à correção dos subtotais, mantendo os preços unitários e alterando em consequência o valor da proposta</w:t>
      </w:r>
    </w:p>
    <w:p>
      <w:pPr>
        <w:pStyle w:val="56"/>
        <w:widowControl w:val="0"/>
        <w:numPr>
          <w:ilvl w:val="1"/>
          <w:numId w:val="9"/>
        </w:numPr>
        <w:tabs>
          <w:tab w:val="left" w:pos="567"/>
          <w:tab w:val="left" w:pos="1320"/>
          <w:tab w:val="clear" w:pos="720"/>
        </w:tabs>
        <w:spacing w:after="100"/>
        <w:ind w:left="0" w:firstLine="0"/>
        <w:rPr>
          <w:rFonts w:ascii="Book Antiqua" w:hAnsi="Book Antiqua"/>
          <w:b/>
          <w:sz w:val="22"/>
        </w:rPr>
      </w:pPr>
      <w:r>
        <w:rPr>
          <w:rFonts w:ascii="Book Antiqua" w:hAnsi="Book Antiqua" w:cs="Book Antiqua"/>
          <w:color w:val="000000"/>
          <w:spacing w:val="2"/>
          <w:sz w:val="22"/>
        </w:rPr>
        <w:t xml:space="preserve"> A aceitação da proposta poderá ocorrer em momento ou data posterior à sessão de lances, a critério do Pregoeiro que comunicará às Licitantes atr</w:t>
      </w:r>
      <w:r>
        <w:rPr>
          <w:rFonts w:ascii="Book Antiqua" w:hAnsi="Book Antiqua"/>
          <w:color w:val="000000"/>
          <w:spacing w:val="2"/>
          <w:sz w:val="22"/>
        </w:rPr>
        <w:t>avés do sistema eletrônico;</w:t>
      </w:r>
      <w:r>
        <w:rPr>
          <w:rFonts w:ascii="Book Antiqua" w:hAnsi="Book Antiqua"/>
          <w:color w:val="000000" w:themeColor="text1"/>
          <w:sz w:val="22"/>
          <w:lang w:eastAsia="en-US"/>
        </w:rPr>
        <w:t xml:space="preserve"> </w:t>
      </w:r>
    </w:p>
    <w:p>
      <w:pPr>
        <w:pStyle w:val="56"/>
        <w:widowControl w:val="0"/>
        <w:tabs>
          <w:tab w:val="left" w:pos="567"/>
          <w:tab w:val="left" w:pos="1320"/>
        </w:tabs>
        <w:spacing w:after="100"/>
        <w:ind w:left="0"/>
        <w:rPr>
          <w:rFonts w:ascii="Book Antiqua" w:hAnsi="Book Antiqua"/>
          <w:b/>
          <w:sz w:val="22"/>
        </w:rPr>
      </w:pPr>
    </w:p>
    <w:p>
      <w:pPr>
        <w:pStyle w:val="83"/>
        <w:widowControl w:val="0"/>
        <w:numPr>
          <w:ilvl w:val="0"/>
          <w:numId w:val="9"/>
        </w:numPr>
        <w:pBdr>
          <w:top w:val="single" w:color="auto" w:sz="4" w:space="1"/>
          <w:left w:val="single" w:color="auto" w:sz="4" w:space="4"/>
          <w:bottom w:val="single" w:color="auto" w:sz="4" w:space="1"/>
          <w:right w:val="single" w:color="auto" w:sz="4" w:space="4"/>
          <w:between w:val="single" w:color="auto" w:sz="4" w:space="1"/>
        </w:pBdr>
        <w:shd w:val="clear" w:color="auto" w:fill="D8D8D8" w:themeFill="background1" w:themeFillShade="D9"/>
        <w:spacing w:after="120"/>
        <w:ind w:left="0" w:firstLine="0"/>
        <w:contextualSpacing w:val="0"/>
        <w:jc w:val="both"/>
        <w:rPr>
          <w:rFonts w:ascii="Book Antiqua" w:hAnsi="Book Antiqua"/>
          <w:b/>
          <w:color w:val="0000FF"/>
          <w:sz w:val="22"/>
          <w:szCs w:val="22"/>
        </w:rPr>
      </w:pPr>
      <w:r>
        <w:rPr>
          <w:rFonts w:ascii="Book Antiqua" w:hAnsi="Book Antiqua"/>
          <w:b/>
          <w:color w:val="0000FF"/>
          <w:sz w:val="22"/>
          <w:szCs w:val="22"/>
        </w:rPr>
        <w:t>DA VERIFICAÇÃO DAS CONDIÇÕES DE PARTIPAÇÃO E DA HABILITAÇÃO</w:t>
      </w:r>
    </w:p>
    <w:p>
      <w:pPr>
        <w:pStyle w:val="83"/>
        <w:numPr>
          <w:ilvl w:val="1"/>
          <w:numId w:val="9"/>
        </w:numPr>
        <w:tabs>
          <w:tab w:val="left" w:pos="440"/>
          <w:tab w:val="clear" w:pos="720"/>
        </w:tabs>
        <w:spacing w:after="120"/>
        <w:ind w:left="0" w:firstLine="0"/>
        <w:contextualSpacing w:val="0"/>
        <w:jc w:val="both"/>
        <w:rPr>
          <w:rFonts w:ascii="Book Antiqua" w:hAnsi="Book Antiqua"/>
          <w:sz w:val="22"/>
          <w:szCs w:val="22"/>
        </w:rPr>
      </w:pPr>
      <w:r>
        <w:rPr>
          <w:rFonts w:ascii="Book Antiqua" w:hAnsi="Book Antiqua"/>
          <w:sz w:val="22"/>
          <w:szCs w:val="22"/>
        </w:rPr>
        <w:t xml:space="preserve"> Concluída a fase de ACEITAÇÃO da(s) proposta(s) classificada(s) em primeiro lugar quanto às especificações do produto e compatibilidade do preço, o pregoeiro verificará, como condição prévia ao exame da documentação de habilitação, o eventual descumprimento das condições de participação, especialmente quanto à existência de sanção que impeça a participação no certame ou a futura contratação, mediante a consulta aos seguintes cadastros: </w:t>
      </w:r>
    </w:p>
    <w:p>
      <w:pPr>
        <w:pStyle w:val="146"/>
        <w:numPr>
          <w:ilvl w:val="2"/>
          <w:numId w:val="9"/>
        </w:numPr>
        <w:tabs>
          <w:tab w:val="clear" w:pos="1288"/>
        </w:tabs>
        <w:spacing w:after="120"/>
        <w:ind w:left="0" w:firstLine="32"/>
        <w:jc w:val="both"/>
        <w:rPr>
          <w:rFonts w:ascii="Book Antiqua" w:hAnsi="Book Antiqua" w:cs="Book Antiqua"/>
          <w:sz w:val="22"/>
          <w:szCs w:val="22"/>
          <w:lang w:bidi="pt-BR"/>
        </w:rPr>
      </w:pPr>
      <w:r>
        <w:rPr>
          <w:rFonts w:ascii="Book Antiqua" w:hAnsi="Book Antiqua"/>
          <w:b/>
          <w:bCs/>
          <w:sz w:val="22"/>
          <w:szCs w:val="22"/>
        </w:rPr>
        <w:t>Sistema de Cadastramento Unificado de Fornecedores</w:t>
      </w:r>
      <w:r>
        <w:rPr>
          <w:rFonts w:ascii="Book Antiqua" w:hAnsi="Book Antiqua"/>
          <w:sz w:val="22"/>
          <w:szCs w:val="22"/>
        </w:rPr>
        <w:t xml:space="preserve"> – </w:t>
      </w:r>
      <w:r>
        <w:rPr>
          <w:rFonts w:ascii="Book Antiqua" w:hAnsi="Book Antiqua"/>
          <w:b/>
          <w:bCs/>
          <w:sz w:val="22"/>
          <w:szCs w:val="22"/>
        </w:rPr>
        <w:t>SICAF;</w:t>
      </w:r>
    </w:p>
    <w:p>
      <w:pPr>
        <w:pStyle w:val="146"/>
        <w:numPr>
          <w:ilvl w:val="2"/>
          <w:numId w:val="9"/>
        </w:numPr>
        <w:tabs>
          <w:tab w:val="clear" w:pos="1288"/>
        </w:tabs>
        <w:spacing w:after="120"/>
        <w:ind w:left="0" w:firstLine="32"/>
        <w:jc w:val="both"/>
        <w:rPr>
          <w:rFonts w:ascii="Book Antiqua" w:hAnsi="Book Antiqua" w:cs="Book Antiqua"/>
          <w:sz w:val="22"/>
          <w:szCs w:val="22"/>
          <w:lang w:bidi="pt-BR"/>
        </w:rPr>
      </w:pPr>
      <w:r>
        <w:rPr>
          <w:rFonts w:ascii="Book Antiqua" w:hAnsi="Book Antiqua" w:cs="Book Antiqua"/>
          <w:b/>
          <w:bCs/>
          <w:color w:val="auto"/>
          <w:sz w:val="22"/>
          <w:szCs w:val="22"/>
        </w:rPr>
        <w:t>Cadastro Nacional de Condenações Cíveis por Ato de Improbidade Administrativa (CNIA), do Conselho Nacional de Justiça</w:t>
      </w:r>
      <w:r>
        <w:rPr>
          <w:rFonts w:ascii="Book Antiqua" w:hAnsi="Book Antiqua" w:cs="Book Antiqua"/>
          <w:color w:val="auto"/>
          <w:sz w:val="22"/>
          <w:szCs w:val="22"/>
        </w:rPr>
        <w:t xml:space="preserve"> – </w:t>
      </w:r>
      <w:r>
        <w:rPr>
          <w:rFonts w:ascii="Book Antiqua" w:hAnsi="Book Antiqua" w:cs="Book Antiqua"/>
          <w:b/>
          <w:bCs/>
          <w:color w:val="auto"/>
          <w:sz w:val="22"/>
          <w:szCs w:val="22"/>
        </w:rPr>
        <w:t>CNJ</w:t>
      </w:r>
      <w:r>
        <w:rPr>
          <w:rFonts w:ascii="Book Antiqua" w:hAnsi="Book Antiqua" w:cs="Book Antiqua"/>
          <w:color w:val="auto"/>
          <w:sz w:val="22"/>
          <w:szCs w:val="22"/>
        </w:rPr>
        <w:t xml:space="preserve">, que resultará em efeitos de inabilitação a depender da natureza </w:t>
      </w:r>
      <w:r>
        <w:rPr>
          <w:rFonts w:ascii="Book Antiqua" w:hAnsi="Book Antiqua" w:cs="Book Antiqua"/>
          <w:sz w:val="22"/>
          <w:szCs w:val="22"/>
        </w:rPr>
        <w:t xml:space="preserve">da sanção aplicada; </w:t>
      </w:r>
      <w:r>
        <w:rPr>
          <w:rFonts w:ascii="Book Antiqua" w:hAnsi="Book Antiqua" w:cs="Book Antiqua"/>
          <w:b/>
          <w:bCs/>
          <w:color w:val="0000FF"/>
          <w:sz w:val="22"/>
          <w:szCs w:val="22"/>
        </w:rPr>
        <w:t>(</w:t>
      </w:r>
      <w:r>
        <w:fldChar w:fldCharType="begin"/>
      </w:r>
      <w:r>
        <w:instrText xml:space="preserve"> HYPERLINK "http://www.cnj.jus.br/improbidade_adm/consultar_requerido.php" </w:instrText>
      </w:r>
      <w:r>
        <w:fldChar w:fldCharType="separate"/>
      </w:r>
      <w:r>
        <w:rPr>
          <w:rStyle w:val="19"/>
          <w:rFonts w:ascii="Book Antiqua" w:hAnsi="Book Antiqua" w:cs="Book Antiqua"/>
          <w:b/>
          <w:bCs/>
          <w:sz w:val="22"/>
          <w:szCs w:val="22"/>
        </w:rPr>
        <w:t>http://www.cnj.jus.br/improbidade_adm/consultar_requerido.php</w:t>
      </w:r>
      <w:r>
        <w:rPr>
          <w:rStyle w:val="19"/>
          <w:rFonts w:ascii="Book Antiqua" w:hAnsi="Book Antiqua" w:cs="Book Antiqua"/>
          <w:b/>
          <w:bCs/>
          <w:sz w:val="22"/>
          <w:szCs w:val="22"/>
        </w:rPr>
        <w:fldChar w:fldCharType="end"/>
      </w:r>
      <w:r>
        <w:rPr>
          <w:rFonts w:ascii="Book Antiqua" w:hAnsi="Book Antiqua" w:cs="Book Antiqua"/>
          <w:color w:val="0000FF"/>
          <w:sz w:val="22"/>
          <w:szCs w:val="22"/>
        </w:rPr>
        <w:t>);</w:t>
      </w:r>
    </w:p>
    <w:p>
      <w:pPr>
        <w:pStyle w:val="146"/>
        <w:numPr>
          <w:ilvl w:val="2"/>
          <w:numId w:val="9"/>
        </w:numPr>
        <w:tabs>
          <w:tab w:val="clear" w:pos="1288"/>
        </w:tabs>
        <w:spacing w:after="120"/>
        <w:ind w:left="0" w:firstLine="32"/>
        <w:jc w:val="both"/>
      </w:pPr>
      <w:r>
        <w:rPr>
          <w:rFonts w:ascii="Book Antiqua" w:hAnsi="Book Antiqua" w:cs="Book Antiqua"/>
          <w:b/>
          <w:bCs/>
          <w:sz w:val="22"/>
          <w:szCs w:val="22"/>
        </w:rPr>
        <w:t>Cadastro Nacional de Empresas Inidôneas e Suspensas (CEIS), da Controladoria Geral da União – CGU</w:t>
      </w:r>
      <w:r>
        <w:rPr>
          <w:rFonts w:ascii="Book Antiqua" w:hAnsi="Book Antiqua" w:cs="Book Antiqua"/>
          <w:sz w:val="22"/>
          <w:szCs w:val="22"/>
        </w:rPr>
        <w:t xml:space="preserve">, que resultará em efeitos de inabilitação a depender da natureza da sanção aplicada; </w:t>
      </w:r>
      <w:r>
        <w:rPr>
          <w:rFonts w:ascii="Book Antiqua" w:hAnsi="Book Antiqua" w:cs="Book Antiqua"/>
          <w:b/>
          <w:bCs/>
          <w:color w:val="0000FF"/>
          <w:sz w:val="22"/>
          <w:szCs w:val="22"/>
        </w:rPr>
        <w:t>(</w:t>
      </w:r>
      <w:r>
        <w:fldChar w:fldCharType="begin"/>
      </w:r>
      <w:r>
        <w:instrText xml:space="preserve"> HYPERLINK "http://www.portaltransparencia.gov.br/ceis" </w:instrText>
      </w:r>
      <w:r>
        <w:fldChar w:fldCharType="separate"/>
      </w:r>
      <w:r>
        <w:rPr>
          <w:rStyle w:val="19"/>
          <w:rFonts w:ascii="Book Antiqua" w:hAnsi="Book Antiqua" w:cs="Book Antiqua"/>
          <w:b/>
          <w:bCs/>
          <w:sz w:val="22"/>
          <w:szCs w:val="22"/>
        </w:rPr>
        <w:t>http://www.portaltransparencia.gov.br/ceis</w:t>
      </w:r>
      <w:r>
        <w:rPr>
          <w:rStyle w:val="19"/>
          <w:rFonts w:ascii="Book Antiqua" w:hAnsi="Book Antiqua" w:cs="Book Antiqua"/>
          <w:b/>
          <w:bCs/>
          <w:sz w:val="22"/>
          <w:szCs w:val="22"/>
        </w:rPr>
        <w:fldChar w:fldCharType="end"/>
      </w:r>
      <w:r>
        <w:rPr>
          <w:rFonts w:ascii="Book Antiqua" w:hAnsi="Book Antiqua" w:cs="Book Antiqua"/>
          <w:b/>
          <w:bCs/>
          <w:color w:val="0000FF"/>
          <w:sz w:val="22"/>
          <w:szCs w:val="22"/>
        </w:rPr>
        <w:t>)</w:t>
      </w:r>
      <w:r>
        <w:rPr>
          <w:rFonts w:ascii="Book Antiqua" w:hAnsi="Book Antiqua" w:cs="Book Antiqua"/>
          <w:sz w:val="22"/>
          <w:szCs w:val="22"/>
        </w:rPr>
        <w:t>;</w:t>
      </w:r>
    </w:p>
    <w:p>
      <w:pPr>
        <w:pStyle w:val="146"/>
        <w:numPr>
          <w:ilvl w:val="2"/>
          <w:numId w:val="9"/>
        </w:numPr>
        <w:tabs>
          <w:tab w:val="clear" w:pos="1288"/>
        </w:tabs>
        <w:spacing w:after="120"/>
        <w:ind w:left="0" w:firstLine="32"/>
        <w:jc w:val="both"/>
      </w:pPr>
      <w:r>
        <w:rPr>
          <w:rFonts w:ascii="Book Antiqua" w:hAnsi="Book Antiqua" w:cs="Book Antiqua"/>
          <w:b/>
          <w:bCs/>
          <w:sz w:val="22"/>
          <w:szCs w:val="22"/>
          <w:lang w:bidi="pt-BR"/>
        </w:rPr>
        <w:t>Cadastro de Fornecedores Impedidos de Licitar e Contratar com a Administração Pública Estadual – CAGEFIMP</w:t>
      </w:r>
      <w:r>
        <w:rPr>
          <w:rFonts w:ascii="Book Antiqua" w:hAnsi="Book Antiqua" w:cs="Book Antiqua"/>
          <w:sz w:val="22"/>
          <w:szCs w:val="22"/>
          <w:lang w:bidi="pt-BR"/>
        </w:rPr>
        <w:t xml:space="preserve">, que resultará em efeitos de inabilitação a depender da natureza da sanção aplicada </w:t>
      </w:r>
      <w:r>
        <w:rPr>
          <w:rFonts w:ascii="Book Antiqua" w:hAnsi="Book Antiqua" w:cs="Book Antiqua"/>
          <w:b/>
          <w:bCs/>
          <w:color w:val="0000FF"/>
          <w:sz w:val="22"/>
          <w:szCs w:val="22"/>
          <w:lang w:bidi="pt-BR"/>
        </w:rPr>
        <w:t>(</w:t>
      </w:r>
      <w:r>
        <w:fldChar w:fldCharType="begin"/>
      </w:r>
      <w:r>
        <w:instrText xml:space="preserve"> HYPERLINK "http://www.transparencia.ro.gov.br/Fornecedor/EmitirCertidao" </w:instrText>
      </w:r>
      <w:r>
        <w:fldChar w:fldCharType="separate"/>
      </w:r>
      <w:r>
        <w:rPr>
          <w:rStyle w:val="19"/>
          <w:rFonts w:ascii="Book Antiqua" w:hAnsi="Book Antiqua" w:cs="Book Antiqua"/>
          <w:b/>
          <w:bCs/>
          <w:sz w:val="22"/>
          <w:szCs w:val="22"/>
        </w:rPr>
        <w:t>http://www.transparencia.ro.gov.br/Fornecedor/EmitirCertidao</w:t>
      </w:r>
      <w:r>
        <w:rPr>
          <w:rStyle w:val="19"/>
          <w:rFonts w:ascii="Book Antiqua" w:hAnsi="Book Antiqua" w:cs="Book Antiqua"/>
          <w:b/>
          <w:bCs/>
          <w:sz w:val="22"/>
          <w:szCs w:val="22"/>
        </w:rPr>
        <w:fldChar w:fldCharType="end"/>
      </w:r>
      <w:r>
        <w:rPr>
          <w:rFonts w:ascii="Book Antiqua" w:hAnsi="Book Antiqua" w:cs="Book Antiqua"/>
          <w:b/>
          <w:bCs/>
          <w:color w:val="0000FF"/>
          <w:sz w:val="22"/>
          <w:szCs w:val="22"/>
        </w:rPr>
        <w:t>)</w:t>
      </w:r>
      <w:r>
        <w:rPr>
          <w:rFonts w:ascii="Book Antiqua" w:hAnsi="Book Antiqua" w:cs="Book Antiqua"/>
          <w:sz w:val="22"/>
          <w:szCs w:val="22"/>
        </w:rPr>
        <w:t>;</w:t>
      </w:r>
    </w:p>
    <w:p>
      <w:pPr>
        <w:pStyle w:val="146"/>
        <w:numPr>
          <w:ilvl w:val="3"/>
          <w:numId w:val="9"/>
        </w:numPr>
        <w:spacing w:after="120"/>
        <w:ind w:firstLine="20"/>
        <w:jc w:val="both"/>
        <w:rPr>
          <w:rFonts w:ascii="Book Antiqua" w:hAnsi="Book Antiqua" w:cs="Book Antiqua"/>
          <w:sz w:val="22"/>
          <w:szCs w:val="22"/>
        </w:rPr>
      </w:pPr>
      <w:r>
        <w:rPr>
          <w:rFonts w:ascii="Book Antiqua" w:hAnsi="Book Antiqua" w:eastAsia="SimSun" w:cs="Book Antiqua"/>
          <w:sz w:val="22"/>
          <w:szCs w:val="22"/>
          <w:lang w:val="en-US" w:eastAsia="zh-CN" w:bidi="ar"/>
        </w:rPr>
        <w:t>Para a consulta de licitantes pessoa jurídica poderá haver a substituição das consultas d</w:t>
      </w:r>
      <w:r>
        <w:rPr>
          <w:rFonts w:ascii="Book Antiqua" w:hAnsi="Book Antiqua" w:eastAsia="SimSun" w:cs="Book Antiqua"/>
          <w:sz w:val="22"/>
          <w:szCs w:val="22"/>
          <w:lang w:eastAsia="zh-CN" w:bidi="ar"/>
        </w:rPr>
        <w:t>o</w:t>
      </w:r>
      <w:r>
        <w:rPr>
          <w:rFonts w:ascii="Book Antiqua" w:hAnsi="Book Antiqua" w:eastAsia="SimSun" w:cs="Book Antiqua"/>
          <w:sz w:val="22"/>
          <w:szCs w:val="22"/>
          <w:lang w:val="en-US" w:eastAsia="zh-CN" w:bidi="ar"/>
        </w:rPr>
        <w:t xml:space="preserve">s </w:t>
      </w:r>
      <w:r>
        <w:rPr>
          <w:rFonts w:ascii="Book Antiqua" w:hAnsi="Book Antiqua" w:eastAsia="SimSun" w:cs="Book Antiqua"/>
          <w:sz w:val="22"/>
          <w:szCs w:val="22"/>
          <w:lang w:eastAsia="zh-CN" w:bidi="ar"/>
        </w:rPr>
        <w:t>subitens</w:t>
      </w:r>
      <w:r>
        <w:rPr>
          <w:rFonts w:ascii="Book Antiqua" w:hAnsi="Book Antiqua" w:eastAsia="SimSun" w:cs="Book Antiqua"/>
          <w:sz w:val="22"/>
          <w:szCs w:val="22"/>
          <w:lang w:val="en-US" w:eastAsia="zh-CN" w:bidi="ar"/>
        </w:rPr>
        <w:t xml:space="preserve"> “</w:t>
      </w:r>
      <w:r>
        <w:rPr>
          <w:rFonts w:ascii="Book Antiqua" w:hAnsi="Book Antiqua" w:eastAsia="SimSun" w:cs="Book Antiqua"/>
          <w:sz w:val="22"/>
          <w:szCs w:val="22"/>
          <w:lang w:eastAsia="zh-CN" w:bidi="ar"/>
        </w:rPr>
        <w:t>15.1.2</w:t>
      </w:r>
      <w:r>
        <w:rPr>
          <w:rFonts w:ascii="Book Antiqua" w:hAnsi="Book Antiqua" w:eastAsia="SimSun" w:cs="Book Antiqua"/>
          <w:sz w:val="22"/>
          <w:szCs w:val="22"/>
          <w:lang w:val="en-US" w:eastAsia="zh-CN" w:bidi="ar"/>
        </w:rPr>
        <w:t>”</w:t>
      </w:r>
      <w:r>
        <w:rPr>
          <w:rFonts w:ascii="Book Antiqua" w:hAnsi="Book Antiqua" w:eastAsia="SimSun" w:cs="Book Antiqua"/>
          <w:sz w:val="22"/>
          <w:szCs w:val="22"/>
          <w:lang w:eastAsia="zh-CN" w:bidi="ar"/>
        </w:rPr>
        <w:t xml:space="preserve"> e</w:t>
      </w:r>
      <w:r>
        <w:rPr>
          <w:rFonts w:ascii="Book Antiqua" w:hAnsi="Book Antiqua" w:eastAsia="SimSun" w:cs="Book Antiqua"/>
          <w:sz w:val="22"/>
          <w:szCs w:val="22"/>
          <w:lang w:val="en-US" w:eastAsia="zh-CN" w:bidi="ar"/>
        </w:rPr>
        <w:t xml:space="preserve"> “</w:t>
      </w:r>
      <w:r>
        <w:rPr>
          <w:rFonts w:ascii="Book Antiqua" w:hAnsi="Book Antiqua" w:eastAsia="SimSun" w:cs="Book Antiqua"/>
          <w:sz w:val="22"/>
          <w:szCs w:val="22"/>
          <w:lang w:eastAsia="zh-CN" w:bidi="ar"/>
        </w:rPr>
        <w:t>15.1.3</w:t>
      </w:r>
      <w:r>
        <w:rPr>
          <w:rFonts w:ascii="Book Antiqua" w:hAnsi="Book Antiqua" w:eastAsia="SimSun" w:cs="Book Antiqua"/>
          <w:sz w:val="22"/>
          <w:szCs w:val="22"/>
          <w:lang w:val="en-US" w:eastAsia="zh-CN" w:bidi="ar"/>
        </w:rPr>
        <w:t>” acima pela Consulta Consolidada de Pessoa Jurídica do TCU (</w:t>
      </w:r>
      <w:r>
        <w:rPr>
          <w:rFonts w:ascii="Book Antiqua" w:hAnsi="Book Antiqua" w:eastAsia="SimSun" w:cs="Book Antiqua"/>
          <w:b/>
          <w:bCs/>
          <w:color w:val="0000FF"/>
          <w:sz w:val="22"/>
          <w:szCs w:val="22"/>
          <w:u w:val="single"/>
          <w:lang w:val="en-US" w:eastAsia="zh-CN" w:bidi="ar"/>
        </w:rPr>
        <w:t>https://certidoesapf.apps.tcu.gov.br/</w:t>
      </w:r>
      <w:r>
        <w:rPr>
          <w:rFonts w:ascii="Book Antiqua" w:hAnsi="Book Antiqua" w:eastAsia="SimSun" w:cs="Book Antiqua"/>
          <w:sz w:val="22"/>
          <w:szCs w:val="22"/>
          <w:lang w:val="en-US" w:eastAsia="zh-CN" w:bidi="ar"/>
        </w:rPr>
        <w:t xml:space="preserve">) </w:t>
      </w:r>
    </w:p>
    <w:p>
      <w:pPr>
        <w:pStyle w:val="83"/>
        <w:numPr>
          <w:ilvl w:val="2"/>
          <w:numId w:val="9"/>
        </w:numPr>
        <w:tabs>
          <w:tab w:val="clear" w:pos="1288"/>
        </w:tabs>
        <w:spacing w:after="120"/>
        <w:ind w:left="0" w:firstLine="32"/>
        <w:contextualSpacing w:val="0"/>
        <w:jc w:val="both"/>
        <w:rPr>
          <w:rFonts w:ascii="Book Antiqua" w:hAnsi="Book Antiqua"/>
          <w:color w:val="0000FF"/>
          <w:sz w:val="22"/>
          <w:szCs w:val="22"/>
        </w:rPr>
      </w:pPr>
      <w:r>
        <w:rPr>
          <w:rFonts w:ascii="Book Antiqua" w:hAnsi="Book Antiqua"/>
          <w:sz w:val="22"/>
          <w:szCs w:val="22"/>
        </w:rPr>
        <w:t xml:space="preserve">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 </w:t>
      </w:r>
    </w:p>
    <w:p>
      <w:pPr>
        <w:pStyle w:val="83"/>
        <w:numPr>
          <w:ilvl w:val="2"/>
          <w:numId w:val="9"/>
        </w:numPr>
        <w:tabs>
          <w:tab w:val="clear" w:pos="1288"/>
        </w:tabs>
        <w:spacing w:after="120"/>
        <w:ind w:left="0" w:firstLine="32"/>
        <w:contextualSpacing w:val="0"/>
        <w:jc w:val="both"/>
        <w:rPr>
          <w:rFonts w:ascii="Book Antiqua" w:hAnsi="Book Antiqua"/>
          <w:color w:val="0000FF"/>
          <w:sz w:val="22"/>
          <w:szCs w:val="22"/>
        </w:rPr>
      </w:pPr>
      <w:r>
        <w:rPr>
          <w:rFonts w:ascii="Book Antiqua" w:hAnsi="Book Antiqua"/>
          <w:sz w:val="22"/>
          <w:szCs w:val="22"/>
        </w:rPr>
        <w:t xml:space="preserve">O licitante será convocado para manifestação previamente à sua desclassificação. </w:t>
      </w:r>
    </w:p>
    <w:p>
      <w:pPr>
        <w:pStyle w:val="83"/>
        <w:numPr>
          <w:ilvl w:val="2"/>
          <w:numId w:val="9"/>
        </w:numPr>
        <w:tabs>
          <w:tab w:val="clear" w:pos="1288"/>
        </w:tabs>
        <w:spacing w:after="120"/>
        <w:ind w:left="0" w:firstLine="32"/>
        <w:contextualSpacing w:val="0"/>
        <w:jc w:val="both"/>
        <w:rPr>
          <w:rFonts w:ascii="Book Antiqua" w:hAnsi="Book Antiqua"/>
          <w:color w:val="0000FF"/>
          <w:sz w:val="22"/>
          <w:szCs w:val="22"/>
        </w:rPr>
      </w:pPr>
      <w:r>
        <w:rPr>
          <w:rFonts w:ascii="Book Antiqua" w:hAnsi="Book Antiqua"/>
          <w:sz w:val="22"/>
          <w:szCs w:val="22"/>
        </w:rPr>
        <w:t xml:space="preserve">Constatada a existência de sanção, o Pregoeiro reputará o licitante inabilitado, por falta de condição de participação. </w:t>
      </w:r>
    </w:p>
    <w:p>
      <w:pPr>
        <w:pStyle w:val="83"/>
        <w:numPr>
          <w:ilvl w:val="1"/>
          <w:numId w:val="9"/>
        </w:numPr>
        <w:spacing w:after="120"/>
        <w:ind w:left="0" w:firstLine="0"/>
        <w:contextualSpacing w:val="0"/>
        <w:jc w:val="both"/>
        <w:rPr>
          <w:rFonts w:ascii="Book Antiqua" w:hAnsi="Book Antiqua"/>
          <w:sz w:val="22"/>
          <w:szCs w:val="22"/>
        </w:rPr>
      </w:pPr>
      <w:r>
        <w:rPr>
          <w:rFonts w:ascii="Book Antiqua" w:hAnsi="Book Antiqua"/>
          <w:sz w:val="22"/>
          <w:szCs w:val="22"/>
        </w:rPr>
        <w:t xml:space="preserve">Caso atendidas as condições de participação, a habilitação do licitante será verificada por meio do SICAF, nos documentos por ele abrangidos em relação à habilitação jurídica, à regularidade fiscal e trabalhista, à qualificação econômica financeira e habilitação técnica. </w:t>
      </w:r>
    </w:p>
    <w:p>
      <w:pPr>
        <w:pStyle w:val="83"/>
        <w:numPr>
          <w:ilvl w:val="1"/>
          <w:numId w:val="9"/>
        </w:numPr>
        <w:spacing w:after="120"/>
        <w:ind w:left="0" w:firstLine="0"/>
        <w:contextualSpacing w:val="0"/>
        <w:jc w:val="both"/>
        <w:rPr>
          <w:rFonts w:ascii="Book Antiqua" w:hAnsi="Book Antiqua"/>
          <w:sz w:val="22"/>
          <w:szCs w:val="22"/>
        </w:rPr>
      </w:pPr>
      <w:r>
        <w:rPr>
          <w:rFonts w:ascii="Book Antiqua" w:hAnsi="Book Antiqua"/>
          <w:sz w:val="22"/>
          <w:szCs w:val="22"/>
        </w:rPr>
        <w:t xml:space="preserve">É dever de o licitante atualizar previamente as comprovações constantes do SICAF para que estejam vigentes na data da abertura da sessão pública, ou encaminhar, em conjunto com a apresentação da proposta, a respectiva documentação atualizada. </w:t>
      </w:r>
    </w:p>
    <w:p>
      <w:pPr>
        <w:pStyle w:val="83"/>
        <w:numPr>
          <w:ilvl w:val="2"/>
          <w:numId w:val="9"/>
        </w:numPr>
        <w:tabs>
          <w:tab w:val="left" w:pos="880"/>
          <w:tab w:val="clear" w:pos="1288"/>
        </w:tabs>
        <w:spacing w:after="120"/>
        <w:ind w:left="668" w:hanging="8"/>
        <w:contextualSpacing w:val="0"/>
        <w:jc w:val="both"/>
        <w:rPr>
          <w:rFonts w:ascii="Book Antiqua" w:hAnsi="Book Antiqua"/>
          <w:sz w:val="22"/>
          <w:szCs w:val="22"/>
        </w:rPr>
      </w:pPr>
      <w:r>
        <w:rPr>
          <w:rFonts w:ascii="Book Antiqua" w:hAnsi="Book Antiqua"/>
          <w:sz w:val="22"/>
          <w:szCs w:val="22"/>
        </w:rPr>
        <w:t xml:space="preserve">O descumprimento do subitem acima implicará a inabilitação do licitante, exceto se a consulta aos sítios eletrônicos oficiais emissores de certidões feita pelo Pregoeiro lograr êxito em encontrar a(s) certidão(ões) válida(s), conforme art. 43, §3º, do Decreto 10.024, de 2019. </w:t>
      </w:r>
    </w:p>
    <w:p>
      <w:pPr>
        <w:pStyle w:val="83"/>
        <w:numPr>
          <w:ilvl w:val="1"/>
          <w:numId w:val="9"/>
        </w:numPr>
        <w:spacing w:after="120"/>
        <w:ind w:left="0" w:firstLine="0"/>
        <w:contextualSpacing w:val="0"/>
        <w:jc w:val="both"/>
        <w:rPr>
          <w:rFonts w:ascii="Book Antiqua" w:hAnsi="Book Antiqua"/>
          <w:sz w:val="22"/>
          <w:szCs w:val="22"/>
        </w:rPr>
      </w:pPr>
      <w:r>
        <w:rPr>
          <w:rFonts w:ascii="Book Antiqua" w:hAnsi="Book Antiqua"/>
          <w:sz w:val="22"/>
          <w:szCs w:val="22"/>
        </w:rPr>
        <w:t xml:space="preserve">Havendo a necessidade de envio de documentos de habilitação complementares, </w:t>
      </w:r>
      <w:r>
        <w:rPr>
          <w:rFonts w:ascii="Book Antiqua" w:hAnsi="Book Antiqua"/>
          <w:b/>
          <w:bCs/>
          <w:sz w:val="22"/>
          <w:szCs w:val="22"/>
        </w:rPr>
        <w:t>necessários à confirmação daqueles exigidos neste Edital e já apresentados</w:t>
      </w:r>
      <w:r>
        <w:rPr>
          <w:rFonts w:ascii="Book Antiqua" w:hAnsi="Book Antiqua"/>
          <w:sz w:val="22"/>
          <w:szCs w:val="22"/>
        </w:rPr>
        <w:t xml:space="preserve">, o licitante será convocado a encaminhá-los, em formato digital, via sistema, no </w:t>
      </w:r>
      <w:r>
        <w:rPr>
          <w:rFonts w:ascii="Book Antiqua" w:hAnsi="Book Antiqua"/>
          <w:sz w:val="22"/>
          <w:szCs w:val="22"/>
          <w:u w:val="single"/>
        </w:rPr>
        <w:t>prazo de 120 (cento e vinte) minutos</w:t>
      </w:r>
      <w:r>
        <w:rPr>
          <w:rFonts w:ascii="Book Antiqua" w:hAnsi="Book Antiqua"/>
          <w:sz w:val="22"/>
          <w:szCs w:val="22"/>
        </w:rPr>
        <w:t xml:space="preserve">, sob pena de inabilitação. </w:t>
      </w:r>
    </w:p>
    <w:p>
      <w:pPr>
        <w:pStyle w:val="83"/>
        <w:numPr>
          <w:ilvl w:val="1"/>
          <w:numId w:val="9"/>
        </w:numPr>
        <w:spacing w:after="120"/>
        <w:ind w:left="0" w:firstLine="0"/>
        <w:contextualSpacing w:val="0"/>
        <w:jc w:val="both"/>
        <w:rPr>
          <w:rFonts w:ascii="Book Antiqua" w:hAnsi="Book Antiqua"/>
          <w:sz w:val="22"/>
          <w:szCs w:val="22"/>
          <w:highlight w:val="yellow"/>
        </w:rPr>
      </w:pPr>
      <w:r>
        <w:rPr>
          <w:rFonts w:ascii="Book Antiqua" w:hAnsi="Book Antiqua"/>
          <w:sz w:val="22"/>
          <w:szCs w:val="22"/>
          <w:highlight w:val="yellow"/>
        </w:rPr>
        <w:t xml:space="preserve">A documentação de habilitação da licitante poderá ser substituída pelo Sistema de Cadastramento de Fornecedores (SICAF) e/ou pelo Certificado de Registro Cadastral (CRC) expedido pela prefeitura municipal de Ariquemes-RO, nos documentos por eles abrangidos. </w:t>
      </w:r>
    </w:p>
    <w:p>
      <w:pPr>
        <w:pStyle w:val="83"/>
        <w:numPr>
          <w:ilvl w:val="2"/>
          <w:numId w:val="9"/>
        </w:numPr>
        <w:spacing w:after="120"/>
        <w:contextualSpacing w:val="0"/>
        <w:jc w:val="both"/>
      </w:pPr>
      <w:r>
        <w:rPr>
          <w:rFonts w:ascii="Book Antiqua" w:hAnsi="Book Antiqua"/>
          <w:sz w:val="22"/>
          <w:szCs w:val="22"/>
        </w:rPr>
        <w:t xml:space="preserve">O licitante que não possuir o cadastro nesta Prefeitura poderá providenciá-lo antes da data de abertura da sessão, no Setor de Protocolo da Prefeitura de Ariquemes, podendo obter informações por meio do telefone (69) 3516-2020. </w:t>
      </w:r>
    </w:p>
    <w:p>
      <w:pPr>
        <w:pStyle w:val="83"/>
        <w:numPr>
          <w:ilvl w:val="1"/>
          <w:numId w:val="9"/>
        </w:numPr>
        <w:spacing w:after="120"/>
        <w:ind w:left="0" w:firstLine="0"/>
        <w:contextualSpacing w:val="0"/>
        <w:jc w:val="both"/>
        <w:rPr>
          <w:rFonts w:ascii="Book Antiqua" w:hAnsi="Book Antiqua" w:cs="Book Antiqua"/>
          <w:sz w:val="22"/>
          <w:szCs w:val="22"/>
        </w:rPr>
      </w:pPr>
      <w:r>
        <w:rPr>
          <w:rFonts w:ascii="Book Antiqua" w:hAnsi="Book Antiqua" w:eastAsia="SimSun" w:cs="Book Antiqua"/>
          <w:color w:val="000000"/>
          <w:sz w:val="22"/>
          <w:szCs w:val="22"/>
          <w:lang w:eastAsia="zh-CN" w:bidi="ar"/>
        </w:rPr>
        <w:t>Poderá</w:t>
      </w:r>
      <w:r>
        <w:rPr>
          <w:rFonts w:ascii="Book Antiqua" w:hAnsi="Book Antiqua" w:eastAsia="SimSun" w:cs="Book Antiqua"/>
          <w:color w:val="000000"/>
          <w:sz w:val="22"/>
          <w:szCs w:val="22"/>
          <w:lang w:val="en-US" w:eastAsia="zh-CN" w:bidi="ar"/>
        </w:rPr>
        <w:t xml:space="preserve"> ser consultados os sítios oficiais emissores de certidões, especialmente quando o licitante esteja com alguma documentação vencida junto ao SICAF. </w:t>
      </w:r>
    </w:p>
    <w:p>
      <w:pPr>
        <w:pStyle w:val="83"/>
        <w:numPr>
          <w:ilvl w:val="1"/>
          <w:numId w:val="9"/>
        </w:numPr>
        <w:spacing w:after="120"/>
        <w:ind w:left="0" w:firstLine="0"/>
        <w:contextualSpacing w:val="0"/>
        <w:jc w:val="both"/>
        <w:rPr>
          <w:rFonts w:ascii="Book Antiqua" w:hAnsi="Book Antiqua"/>
          <w:sz w:val="22"/>
          <w:szCs w:val="22"/>
        </w:rPr>
      </w:pPr>
      <w:r>
        <w:rPr>
          <w:rFonts w:ascii="Book Antiqua" w:hAnsi="Book Antiqua"/>
          <w:sz w:val="22"/>
          <w:szCs w:val="22"/>
        </w:rPr>
        <w:t xml:space="preserve">No julgamento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 </w:t>
      </w:r>
    </w:p>
    <w:p>
      <w:pPr>
        <w:pStyle w:val="83"/>
        <w:numPr>
          <w:ilvl w:val="1"/>
          <w:numId w:val="9"/>
        </w:numPr>
        <w:spacing w:after="120"/>
        <w:ind w:left="0" w:firstLine="0"/>
        <w:jc w:val="both"/>
        <w:rPr>
          <w:rFonts w:ascii="Book Antiqua" w:hAnsi="Book Antiqua"/>
          <w:sz w:val="22"/>
          <w:szCs w:val="22"/>
          <w:u w:val="single"/>
        </w:rPr>
      </w:pPr>
      <w:r>
        <w:rPr>
          <w:rFonts w:ascii="Book Antiqua" w:hAnsi="Book Antiqua"/>
          <w:sz w:val="22"/>
          <w:szCs w:val="22"/>
          <w:u w:val="single"/>
        </w:rPr>
        <w:t xml:space="preserve">Ressalvado os documentos atualizados no SICAF e/ou no CRC da Prefeitura de Ariquemes-RO, os licitantes deverão encaminhar, nos termos deste Edital, a documentação relacionada nos itens a seguir, para fins de habilitação: </w:t>
      </w:r>
    </w:p>
    <w:p>
      <w:pPr>
        <w:pStyle w:val="83"/>
        <w:spacing w:after="120"/>
        <w:ind w:left="0"/>
        <w:jc w:val="both"/>
        <w:rPr>
          <w:rFonts w:ascii="Book Antiqua" w:hAnsi="Book Antiqua"/>
          <w:sz w:val="22"/>
          <w:szCs w:val="22"/>
        </w:rPr>
      </w:pPr>
    </w:p>
    <w:p>
      <w:pPr>
        <w:pStyle w:val="83"/>
        <w:numPr>
          <w:ilvl w:val="1"/>
          <w:numId w:val="9"/>
        </w:numPr>
        <w:spacing w:after="120"/>
        <w:ind w:left="0" w:firstLine="0"/>
        <w:jc w:val="both"/>
        <w:rPr>
          <w:rFonts w:ascii="Book Antiqua" w:hAnsi="Book Antiqua"/>
          <w:b/>
          <w:bCs/>
          <w:highlight w:val="yellow"/>
          <w:u w:val="single"/>
        </w:rPr>
      </w:pPr>
      <w:r>
        <w:rPr>
          <w:rFonts w:ascii="Book Antiqua" w:hAnsi="Book Antiqua"/>
          <w:b/>
          <w:bCs/>
          <w:highlight w:val="yellow"/>
          <w:u w:val="single"/>
        </w:rPr>
        <w:t>DA HABILITAÇÃO JURÍDICA:</w:t>
      </w:r>
    </w:p>
    <w:p>
      <w:pPr>
        <w:pStyle w:val="83"/>
        <w:numPr>
          <w:ilvl w:val="2"/>
          <w:numId w:val="9"/>
        </w:numPr>
        <w:tabs>
          <w:tab w:val="left" w:pos="660"/>
          <w:tab w:val="clear" w:pos="1288"/>
        </w:tabs>
        <w:spacing w:after="120"/>
        <w:ind w:left="0" w:firstLine="0"/>
        <w:contextualSpacing w:val="0"/>
        <w:jc w:val="both"/>
        <w:rPr>
          <w:rFonts w:ascii="Book Antiqua" w:hAnsi="Book Antiqua"/>
          <w:bCs/>
          <w:color w:val="000000"/>
          <w:sz w:val="22"/>
          <w:szCs w:val="22"/>
        </w:rPr>
      </w:pPr>
      <w:r>
        <w:rPr>
          <w:rFonts w:ascii="Book Antiqua" w:hAnsi="Book Antiqua"/>
          <w:bCs/>
          <w:color w:val="000000"/>
          <w:sz w:val="22"/>
          <w:szCs w:val="22"/>
        </w:rPr>
        <w:t xml:space="preserve">No caso de </w:t>
      </w:r>
      <w:r>
        <w:rPr>
          <w:rFonts w:ascii="Book Antiqua" w:hAnsi="Book Antiqua"/>
          <w:b/>
          <w:color w:val="000000"/>
          <w:sz w:val="22"/>
          <w:szCs w:val="22"/>
        </w:rPr>
        <w:t>empresário individual</w:t>
      </w:r>
      <w:r>
        <w:rPr>
          <w:rFonts w:ascii="Book Antiqua" w:hAnsi="Book Antiqua"/>
          <w:bCs/>
          <w:color w:val="000000"/>
          <w:sz w:val="22"/>
          <w:szCs w:val="22"/>
        </w:rPr>
        <w:t>: inscrição no Registro Público de Empresas Mercantis, a cargo da Junta Comercial da respectiva sede;</w:t>
      </w:r>
    </w:p>
    <w:p>
      <w:pPr>
        <w:pStyle w:val="83"/>
        <w:keepNext w:val="0"/>
        <w:keepLines w:val="0"/>
        <w:pageBreakBefore w:val="0"/>
        <w:widowControl/>
        <w:numPr>
          <w:ilvl w:val="2"/>
          <w:numId w:val="9"/>
        </w:numPr>
        <w:tabs>
          <w:tab w:val="left" w:pos="709"/>
          <w:tab w:val="clear" w:pos="1288"/>
        </w:tabs>
        <w:kinsoku/>
        <w:wordWrap/>
        <w:overflowPunct/>
        <w:topLinePunct w:val="0"/>
        <w:autoSpaceDE/>
        <w:autoSpaceDN/>
        <w:bidi w:val="0"/>
        <w:adjustRightInd/>
        <w:snapToGrid/>
        <w:spacing w:after="80"/>
        <w:ind w:left="0" w:firstLine="0"/>
        <w:contextualSpacing w:val="0"/>
        <w:jc w:val="both"/>
        <w:textAlignment w:val="auto"/>
        <w:rPr>
          <w:rFonts w:ascii="Book Antiqua" w:hAnsi="Book Antiqua"/>
          <w:bCs/>
          <w:color w:val="000000"/>
          <w:sz w:val="22"/>
          <w:szCs w:val="22"/>
        </w:rPr>
      </w:pPr>
      <w:r>
        <w:rPr>
          <w:rFonts w:ascii="Book Antiqua" w:hAnsi="Book Antiqua"/>
          <w:bCs/>
          <w:color w:val="000000"/>
          <w:sz w:val="22"/>
          <w:szCs w:val="22"/>
        </w:rPr>
        <w:t xml:space="preserve">Em se tratando de </w:t>
      </w:r>
      <w:r>
        <w:rPr>
          <w:rFonts w:ascii="Book Antiqua" w:hAnsi="Book Antiqua"/>
          <w:b/>
          <w:color w:val="000000"/>
          <w:sz w:val="22"/>
          <w:szCs w:val="22"/>
        </w:rPr>
        <w:t>microempreendedor individual – MEI</w:t>
      </w:r>
      <w:r>
        <w:rPr>
          <w:rFonts w:ascii="Book Antiqua" w:hAnsi="Book Antiqua"/>
          <w:bCs/>
          <w:color w:val="000000"/>
          <w:sz w:val="22"/>
          <w:szCs w:val="22"/>
        </w:rPr>
        <w:t xml:space="preserve">: Certificado da Condição de Microempreendedor Individual - CCMEI, cuja aceitação ficará condicionada à verificação da autenticidade no sítio </w:t>
      </w:r>
      <w:r>
        <w:rPr>
          <w:rFonts w:ascii="Book Antiqua" w:hAnsi="Book Antiqua"/>
          <w:b/>
          <w:color w:val="1D41D5"/>
          <w:sz w:val="22"/>
          <w:szCs w:val="22"/>
        </w:rPr>
        <w:t>www.portaldoempreendedor.gov.br</w:t>
      </w:r>
      <w:r>
        <w:rPr>
          <w:rFonts w:ascii="Book Antiqua" w:hAnsi="Book Antiqua"/>
          <w:bCs/>
          <w:color w:val="000000"/>
          <w:sz w:val="22"/>
          <w:szCs w:val="22"/>
        </w:rPr>
        <w:t>;</w:t>
      </w:r>
    </w:p>
    <w:p>
      <w:pPr>
        <w:pStyle w:val="83"/>
        <w:keepNext w:val="0"/>
        <w:keepLines w:val="0"/>
        <w:pageBreakBefore w:val="0"/>
        <w:widowControl/>
        <w:numPr>
          <w:ilvl w:val="2"/>
          <w:numId w:val="9"/>
        </w:numPr>
        <w:tabs>
          <w:tab w:val="left" w:pos="709"/>
          <w:tab w:val="clear" w:pos="1288"/>
        </w:tabs>
        <w:kinsoku/>
        <w:wordWrap/>
        <w:overflowPunct/>
        <w:topLinePunct w:val="0"/>
        <w:autoSpaceDE/>
        <w:autoSpaceDN/>
        <w:bidi w:val="0"/>
        <w:adjustRightInd/>
        <w:snapToGrid/>
        <w:spacing w:after="80"/>
        <w:ind w:left="0" w:firstLine="0"/>
        <w:contextualSpacing w:val="0"/>
        <w:jc w:val="both"/>
        <w:textAlignment w:val="auto"/>
        <w:rPr>
          <w:rFonts w:ascii="Book Antiqua" w:hAnsi="Book Antiqua"/>
          <w:bCs/>
          <w:color w:val="000000"/>
          <w:sz w:val="22"/>
          <w:szCs w:val="22"/>
        </w:rPr>
      </w:pPr>
      <w:r>
        <w:rPr>
          <w:rFonts w:ascii="Book Antiqua" w:hAnsi="Book Antiqua"/>
          <w:bCs/>
          <w:color w:val="000000"/>
          <w:sz w:val="22"/>
          <w:szCs w:val="22"/>
        </w:rPr>
        <w:t xml:space="preserve">No caso de </w:t>
      </w:r>
      <w:r>
        <w:rPr>
          <w:rFonts w:ascii="Book Antiqua" w:hAnsi="Book Antiqua"/>
          <w:b/>
          <w:color w:val="000000"/>
          <w:sz w:val="22"/>
          <w:szCs w:val="22"/>
        </w:rPr>
        <w:t>sociedade empresária ou empresa individual de responsabilidade limitada - EIRELI</w:t>
      </w:r>
      <w:r>
        <w:rPr>
          <w:rFonts w:ascii="Book Antiqua" w:hAnsi="Book Antiqua"/>
          <w:bCs/>
          <w:color w:val="000000"/>
          <w:sz w:val="22"/>
          <w:szCs w:val="22"/>
        </w:rPr>
        <w:t>: ato constitutivo, estatuto ou contrato social em vigor, devidamente registrado na Junta Comercial da respectiva sede, acompanhado de documento comprobatório de seus administradores;</w:t>
      </w:r>
    </w:p>
    <w:p>
      <w:pPr>
        <w:pStyle w:val="83"/>
        <w:keepNext w:val="0"/>
        <w:keepLines w:val="0"/>
        <w:pageBreakBefore w:val="0"/>
        <w:widowControl/>
        <w:numPr>
          <w:ilvl w:val="2"/>
          <w:numId w:val="9"/>
        </w:numPr>
        <w:tabs>
          <w:tab w:val="left" w:pos="709"/>
          <w:tab w:val="clear" w:pos="1288"/>
        </w:tabs>
        <w:kinsoku/>
        <w:wordWrap/>
        <w:overflowPunct/>
        <w:topLinePunct w:val="0"/>
        <w:autoSpaceDE/>
        <w:autoSpaceDN/>
        <w:bidi w:val="0"/>
        <w:adjustRightInd/>
        <w:snapToGrid/>
        <w:spacing w:after="80"/>
        <w:ind w:left="0" w:firstLine="0"/>
        <w:contextualSpacing w:val="0"/>
        <w:jc w:val="both"/>
        <w:textAlignment w:val="auto"/>
        <w:rPr>
          <w:rFonts w:ascii="Book Antiqua" w:hAnsi="Book Antiqua"/>
          <w:bCs/>
          <w:color w:val="000000"/>
          <w:sz w:val="22"/>
          <w:szCs w:val="22"/>
        </w:rPr>
      </w:pPr>
      <w:r>
        <w:rPr>
          <w:rFonts w:ascii="Book Antiqua" w:hAnsi="Book Antiqua"/>
          <w:bCs/>
          <w:color w:val="000000"/>
          <w:sz w:val="22"/>
          <w:szCs w:val="22"/>
        </w:rPr>
        <w:t>Inscrição no Registro Público de Empresas Mercantis onde opera, com averbação no Registro onde tem sede a matriz, no caso de ser o participante sucursal, filial ou agência;</w:t>
      </w:r>
    </w:p>
    <w:p>
      <w:pPr>
        <w:pStyle w:val="83"/>
        <w:keepNext w:val="0"/>
        <w:keepLines w:val="0"/>
        <w:pageBreakBefore w:val="0"/>
        <w:widowControl/>
        <w:numPr>
          <w:ilvl w:val="2"/>
          <w:numId w:val="9"/>
        </w:numPr>
        <w:tabs>
          <w:tab w:val="left" w:pos="709"/>
          <w:tab w:val="clear" w:pos="1288"/>
        </w:tabs>
        <w:kinsoku/>
        <w:wordWrap/>
        <w:overflowPunct/>
        <w:topLinePunct w:val="0"/>
        <w:autoSpaceDE/>
        <w:autoSpaceDN/>
        <w:bidi w:val="0"/>
        <w:adjustRightInd/>
        <w:snapToGrid/>
        <w:spacing w:after="80"/>
        <w:ind w:left="0" w:firstLine="0"/>
        <w:contextualSpacing w:val="0"/>
        <w:jc w:val="both"/>
        <w:textAlignment w:val="auto"/>
        <w:rPr>
          <w:rFonts w:ascii="Book Antiqua" w:hAnsi="Book Antiqua"/>
          <w:bCs/>
          <w:color w:val="000000"/>
          <w:sz w:val="22"/>
          <w:szCs w:val="22"/>
        </w:rPr>
      </w:pPr>
      <w:r>
        <w:rPr>
          <w:rFonts w:ascii="Book Antiqua" w:hAnsi="Book Antiqua"/>
          <w:bCs/>
          <w:color w:val="000000"/>
          <w:sz w:val="22"/>
          <w:szCs w:val="22"/>
        </w:rPr>
        <w:t>No caso de sociedade simples: inscrição do ato constitutivo no Registro Civil das Pessoas Jurídicas do local de sua sede, acompanhada de prova da indicação dos seus administradores;</w:t>
      </w:r>
    </w:p>
    <w:p>
      <w:pPr>
        <w:pStyle w:val="83"/>
        <w:keepNext w:val="0"/>
        <w:keepLines w:val="0"/>
        <w:pageBreakBefore w:val="0"/>
        <w:widowControl/>
        <w:numPr>
          <w:ilvl w:val="2"/>
          <w:numId w:val="9"/>
        </w:numPr>
        <w:tabs>
          <w:tab w:val="left" w:pos="709"/>
          <w:tab w:val="clear" w:pos="1288"/>
        </w:tabs>
        <w:kinsoku/>
        <w:wordWrap/>
        <w:overflowPunct/>
        <w:topLinePunct w:val="0"/>
        <w:autoSpaceDE/>
        <w:autoSpaceDN/>
        <w:bidi w:val="0"/>
        <w:adjustRightInd/>
        <w:snapToGrid/>
        <w:spacing w:after="80"/>
        <w:ind w:left="0" w:firstLine="0"/>
        <w:contextualSpacing w:val="0"/>
        <w:jc w:val="both"/>
        <w:textAlignment w:val="auto"/>
        <w:rPr>
          <w:rFonts w:ascii="Book Antiqua" w:hAnsi="Book Antiqua"/>
          <w:bCs/>
          <w:color w:val="000000"/>
          <w:sz w:val="22"/>
          <w:szCs w:val="22"/>
        </w:rPr>
      </w:pPr>
      <w:r>
        <w:rPr>
          <w:rFonts w:ascii="Book Antiqua" w:hAnsi="Book Antiqua"/>
          <w:bCs/>
          <w:color w:val="000000"/>
          <w:sz w:val="22"/>
          <w:szCs w:val="22"/>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83"/>
        <w:keepNext w:val="0"/>
        <w:keepLines w:val="0"/>
        <w:pageBreakBefore w:val="0"/>
        <w:widowControl/>
        <w:numPr>
          <w:ilvl w:val="2"/>
          <w:numId w:val="9"/>
        </w:numPr>
        <w:tabs>
          <w:tab w:val="left" w:pos="709"/>
          <w:tab w:val="clear" w:pos="1288"/>
        </w:tabs>
        <w:kinsoku/>
        <w:wordWrap/>
        <w:overflowPunct/>
        <w:topLinePunct w:val="0"/>
        <w:autoSpaceDE/>
        <w:autoSpaceDN/>
        <w:bidi w:val="0"/>
        <w:adjustRightInd/>
        <w:snapToGrid/>
        <w:spacing w:after="80"/>
        <w:ind w:left="0" w:firstLine="0"/>
        <w:contextualSpacing w:val="0"/>
        <w:jc w:val="both"/>
        <w:textAlignment w:val="auto"/>
        <w:rPr>
          <w:rFonts w:ascii="Book Antiqua" w:hAnsi="Book Antiqua"/>
          <w:bCs/>
          <w:color w:val="000000"/>
          <w:sz w:val="22"/>
          <w:szCs w:val="22"/>
        </w:rPr>
      </w:pPr>
      <w:r>
        <w:rPr>
          <w:rFonts w:ascii="Book Antiqua" w:hAnsi="Book Antiqua"/>
          <w:bCs/>
          <w:color w:val="000000"/>
          <w:sz w:val="22"/>
          <w:szCs w:val="22"/>
        </w:rPr>
        <w:t>No caso de empresa ou sociedade estrangeira em funcionamento no País: decreto de autorização;</w:t>
      </w:r>
    </w:p>
    <w:p>
      <w:pPr>
        <w:pStyle w:val="83"/>
        <w:keepNext w:val="0"/>
        <w:keepLines w:val="0"/>
        <w:pageBreakBefore w:val="0"/>
        <w:widowControl/>
        <w:numPr>
          <w:ilvl w:val="2"/>
          <w:numId w:val="9"/>
        </w:numPr>
        <w:tabs>
          <w:tab w:val="left" w:pos="709"/>
          <w:tab w:val="clear" w:pos="1288"/>
        </w:tabs>
        <w:kinsoku/>
        <w:wordWrap/>
        <w:overflowPunct/>
        <w:topLinePunct w:val="0"/>
        <w:autoSpaceDE/>
        <w:autoSpaceDN/>
        <w:bidi w:val="0"/>
        <w:adjustRightInd/>
        <w:snapToGrid/>
        <w:spacing w:after="80"/>
        <w:ind w:left="0" w:firstLine="0"/>
        <w:contextualSpacing w:val="0"/>
        <w:jc w:val="both"/>
        <w:textAlignment w:val="auto"/>
        <w:rPr>
          <w:rFonts w:ascii="Book Antiqua" w:hAnsi="Book Antiqua"/>
          <w:bCs/>
          <w:color w:val="000000"/>
          <w:sz w:val="22"/>
          <w:szCs w:val="22"/>
        </w:rPr>
      </w:pPr>
      <w:r>
        <w:rPr>
          <w:rFonts w:ascii="Book Antiqua" w:hAnsi="Book Antiqua"/>
          <w:color w:val="000000" w:themeColor="text1"/>
          <w:sz w:val="22"/>
          <w:szCs w:val="22"/>
        </w:rPr>
        <w:t>Documentos de identificação contendo RG e CPF do(s) sócio(s) ou sócio administrador;</w:t>
      </w:r>
    </w:p>
    <w:p>
      <w:pPr>
        <w:pStyle w:val="83"/>
        <w:keepNext w:val="0"/>
        <w:keepLines w:val="0"/>
        <w:pageBreakBefore w:val="0"/>
        <w:widowControl/>
        <w:numPr>
          <w:ilvl w:val="2"/>
          <w:numId w:val="9"/>
        </w:numPr>
        <w:tabs>
          <w:tab w:val="left" w:pos="709"/>
          <w:tab w:val="clear" w:pos="1288"/>
        </w:tabs>
        <w:kinsoku/>
        <w:wordWrap/>
        <w:overflowPunct/>
        <w:topLinePunct w:val="0"/>
        <w:autoSpaceDE/>
        <w:autoSpaceDN/>
        <w:bidi w:val="0"/>
        <w:adjustRightInd/>
        <w:snapToGrid/>
        <w:spacing w:after="80"/>
        <w:ind w:left="0" w:firstLine="0"/>
        <w:contextualSpacing w:val="0"/>
        <w:jc w:val="both"/>
        <w:textAlignment w:val="auto"/>
        <w:rPr>
          <w:rFonts w:ascii="Book Antiqua" w:hAnsi="Book Antiqua"/>
          <w:bCs/>
          <w:color w:val="000000"/>
          <w:sz w:val="22"/>
          <w:szCs w:val="22"/>
        </w:rPr>
      </w:pPr>
      <w:r>
        <w:rPr>
          <w:rFonts w:ascii="Book Antiqua" w:hAnsi="Book Antiqua"/>
          <w:color w:val="000000" w:themeColor="text1"/>
          <w:sz w:val="22"/>
          <w:szCs w:val="22"/>
        </w:rPr>
        <w:t>Instrumento de procuração, devidamente registrado em Cartório (quando for o caso), acompanhado dos documentos pessoais do procurador (RG e CPF);</w:t>
      </w:r>
    </w:p>
    <w:p>
      <w:pPr>
        <w:pStyle w:val="83"/>
        <w:keepNext w:val="0"/>
        <w:keepLines w:val="0"/>
        <w:pageBreakBefore w:val="0"/>
        <w:widowControl/>
        <w:numPr>
          <w:ilvl w:val="2"/>
          <w:numId w:val="9"/>
        </w:numPr>
        <w:tabs>
          <w:tab w:val="left" w:pos="709"/>
          <w:tab w:val="left" w:pos="880"/>
          <w:tab w:val="clear" w:pos="1288"/>
        </w:tabs>
        <w:kinsoku/>
        <w:wordWrap/>
        <w:overflowPunct/>
        <w:topLinePunct w:val="0"/>
        <w:autoSpaceDE/>
        <w:autoSpaceDN/>
        <w:bidi w:val="0"/>
        <w:adjustRightInd/>
        <w:snapToGrid/>
        <w:spacing w:after="80"/>
        <w:ind w:left="0" w:firstLine="0"/>
        <w:contextualSpacing w:val="0"/>
        <w:jc w:val="both"/>
        <w:textAlignment w:val="auto"/>
        <w:rPr>
          <w:rFonts w:ascii="Book Antiqua" w:hAnsi="Book Antiqua"/>
          <w:bCs/>
          <w:color w:val="000000"/>
          <w:sz w:val="22"/>
          <w:szCs w:val="22"/>
        </w:rPr>
      </w:pPr>
      <w:r>
        <w:rPr>
          <w:rFonts w:ascii="Book Antiqua" w:hAnsi="Book Antiqua"/>
          <w:color w:val="000000" w:themeColor="text1"/>
          <w:sz w:val="22"/>
          <w:szCs w:val="22"/>
        </w:rPr>
        <w:t xml:space="preserve"> Registro Comercial, no caso de empresa individual.</w:t>
      </w:r>
    </w:p>
    <w:p>
      <w:pPr>
        <w:pStyle w:val="83"/>
        <w:keepNext w:val="0"/>
        <w:keepLines w:val="0"/>
        <w:pageBreakBefore w:val="0"/>
        <w:widowControl/>
        <w:numPr>
          <w:ilvl w:val="2"/>
          <w:numId w:val="9"/>
        </w:numPr>
        <w:tabs>
          <w:tab w:val="left" w:pos="709"/>
          <w:tab w:val="left" w:pos="880"/>
          <w:tab w:val="clear" w:pos="1288"/>
        </w:tabs>
        <w:kinsoku/>
        <w:wordWrap/>
        <w:overflowPunct/>
        <w:topLinePunct w:val="0"/>
        <w:autoSpaceDE/>
        <w:autoSpaceDN/>
        <w:bidi w:val="0"/>
        <w:adjustRightInd/>
        <w:snapToGrid/>
        <w:spacing w:after="80"/>
        <w:ind w:left="0" w:firstLine="0"/>
        <w:contextualSpacing w:val="0"/>
        <w:jc w:val="both"/>
        <w:textAlignment w:val="auto"/>
        <w:rPr>
          <w:rFonts w:ascii="Book Antiqua" w:hAnsi="Book Antiqua"/>
          <w:bCs/>
          <w:color w:val="000000"/>
          <w:sz w:val="22"/>
          <w:szCs w:val="22"/>
        </w:rPr>
      </w:pPr>
      <w:r>
        <w:rPr>
          <w:rFonts w:ascii="Book Antiqua" w:hAnsi="Book Antiqua"/>
          <w:color w:val="000000" w:themeColor="text1"/>
          <w:sz w:val="22"/>
          <w:szCs w:val="22"/>
        </w:rPr>
        <w:t xml:space="preserve"> Decreto de Autorização, devidamente arquivado em se tratando de empresa ou sociedade estrangeira em funcionamento no País.</w:t>
      </w:r>
    </w:p>
    <w:p>
      <w:pPr>
        <w:pStyle w:val="83"/>
        <w:keepNext w:val="0"/>
        <w:keepLines w:val="0"/>
        <w:pageBreakBefore w:val="0"/>
        <w:widowControl/>
        <w:numPr>
          <w:ilvl w:val="2"/>
          <w:numId w:val="9"/>
        </w:numPr>
        <w:tabs>
          <w:tab w:val="left" w:pos="709"/>
          <w:tab w:val="left" w:pos="880"/>
          <w:tab w:val="clear" w:pos="1288"/>
        </w:tabs>
        <w:kinsoku/>
        <w:wordWrap/>
        <w:overflowPunct/>
        <w:topLinePunct w:val="0"/>
        <w:autoSpaceDE/>
        <w:autoSpaceDN/>
        <w:bidi w:val="0"/>
        <w:adjustRightInd/>
        <w:snapToGrid/>
        <w:spacing w:after="80"/>
        <w:ind w:left="0" w:firstLine="0"/>
        <w:contextualSpacing w:val="0"/>
        <w:jc w:val="both"/>
        <w:textAlignment w:val="auto"/>
        <w:rPr>
          <w:rFonts w:ascii="Book Antiqua" w:hAnsi="Book Antiqua"/>
          <w:bCs/>
          <w:color w:val="000000"/>
          <w:sz w:val="22"/>
          <w:szCs w:val="22"/>
        </w:rPr>
      </w:pPr>
      <w:r>
        <w:rPr>
          <w:rFonts w:ascii="Book Antiqua" w:hAnsi="Book Antiqua"/>
          <w:bCs/>
          <w:color w:val="000000"/>
          <w:sz w:val="22"/>
          <w:szCs w:val="22"/>
        </w:rPr>
        <w:t>Os documentos acima deverão estar acompanhados de todas as alterações ou da consolidação respectiva;</w:t>
      </w:r>
    </w:p>
    <w:p>
      <w:pPr>
        <w:pStyle w:val="83"/>
        <w:numPr>
          <w:ilvl w:val="1"/>
          <w:numId w:val="9"/>
        </w:numPr>
        <w:spacing w:after="100"/>
        <w:ind w:left="0" w:firstLine="0"/>
        <w:contextualSpacing w:val="0"/>
        <w:rPr>
          <w:rFonts w:ascii="Book Antiqua" w:hAnsi="Book Antiqua"/>
          <w:b/>
          <w:bCs/>
          <w:sz w:val="22"/>
          <w:szCs w:val="22"/>
          <w:highlight w:val="yellow"/>
        </w:rPr>
      </w:pPr>
      <w:r>
        <w:rPr>
          <w:rFonts w:ascii="Book Antiqua" w:hAnsi="Book Antiqua"/>
          <w:b/>
          <w:bCs/>
          <w:highlight w:val="yellow"/>
          <w:u w:val="single"/>
        </w:rPr>
        <w:t>DA REGULARIDADE FISCAL E TRABALHISTA</w:t>
      </w:r>
      <w:r>
        <w:rPr>
          <w:rFonts w:ascii="Book Antiqua" w:hAnsi="Book Antiqua"/>
          <w:b/>
          <w:bCs/>
          <w:highlight w:val="yellow"/>
        </w:rPr>
        <w:t>:</w:t>
      </w:r>
    </w:p>
    <w:p>
      <w:pPr>
        <w:pStyle w:val="83"/>
        <w:widowControl w:val="0"/>
        <w:numPr>
          <w:ilvl w:val="2"/>
          <w:numId w:val="9"/>
        </w:numPr>
        <w:tabs>
          <w:tab w:val="left" w:pos="0"/>
          <w:tab w:val="left" w:pos="880"/>
          <w:tab w:val="clear" w:pos="1288"/>
        </w:tabs>
        <w:spacing w:after="100"/>
        <w:ind w:left="0" w:firstLine="0"/>
        <w:contextualSpacing w:val="0"/>
        <w:jc w:val="both"/>
        <w:rPr>
          <w:rFonts w:ascii="Book Antiqua" w:hAnsi="Book Antiqua"/>
          <w:sz w:val="22"/>
          <w:szCs w:val="22"/>
        </w:rPr>
      </w:pPr>
      <w:r>
        <w:rPr>
          <w:rFonts w:ascii="Book Antiqua" w:hAnsi="Book Antiqua"/>
          <w:sz w:val="22"/>
          <w:szCs w:val="22"/>
        </w:rPr>
        <w:t xml:space="preserve"> Certidão de Regularidade de Débitos com a </w:t>
      </w:r>
      <w:r>
        <w:rPr>
          <w:rFonts w:ascii="Book Antiqua" w:hAnsi="Book Antiqua"/>
          <w:b/>
          <w:sz w:val="22"/>
          <w:szCs w:val="22"/>
          <w:u w:val="single"/>
        </w:rPr>
        <w:t>Fazenda Federal</w:t>
      </w:r>
      <w:r>
        <w:rPr>
          <w:rFonts w:ascii="Book Antiqua" w:hAnsi="Book Antiqua"/>
          <w:sz w:val="22"/>
          <w:szCs w:val="22"/>
        </w:rPr>
        <w:t xml:space="preserve"> (da Secretaria da Receita Federal e da Procuradoria da Fazenda Nacional), admitida comprovação também, por meio de “certidão positiva com efeito de negativa”, diante da existência de débito confesso, parcelado e em fase de adimplemento; (Certidão de Débitos Relativos a Créditos Tributários Federais, Previdenciários e à Dívida Ativa da União, conforme portaria RFB/PGFN nº 1751 de 02/10/2014);</w:t>
      </w:r>
    </w:p>
    <w:p>
      <w:pPr>
        <w:pStyle w:val="83"/>
        <w:widowControl w:val="0"/>
        <w:numPr>
          <w:ilvl w:val="2"/>
          <w:numId w:val="9"/>
        </w:numPr>
        <w:tabs>
          <w:tab w:val="left" w:pos="0"/>
          <w:tab w:val="left" w:pos="880"/>
          <w:tab w:val="clear" w:pos="1288"/>
        </w:tabs>
        <w:spacing w:after="100"/>
        <w:ind w:left="0" w:firstLine="0"/>
        <w:contextualSpacing w:val="0"/>
        <w:jc w:val="both"/>
        <w:rPr>
          <w:rFonts w:ascii="Book Antiqua" w:hAnsi="Book Antiqua"/>
          <w:sz w:val="22"/>
          <w:szCs w:val="22"/>
        </w:rPr>
      </w:pPr>
      <w:r>
        <w:rPr>
          <w:rFonts w:ascii="Book Antiqua" w:hAnsi="Book Antiqua"/>
          <w:sz w:val="22"/>
          <w:szCs w:val="22"/>
        </w:rPr>
        <w:t xml:space="preserve"> Certidão de Regularidade de Débitos com a </w:t>
      </w:r>
      <w:r>
        <w:rPr>
          <w:rFonts w:ascii="Book Antiqua" w:hAnsi="Book Antiqua"/>
          <w:b/>
          <w:sz w:val="22"/>
          <w:szCs w:val="22"/>
          <w:u w:val="single"/>
        </w:rPr>
        <w:t>Fazenda Estadual</w:t>
      </w:r>
      <w:r>
        <w:rPr>
          <w:rFonts w:ascii="Book Antiqua" w:hAnsi="Book Antiqua"/>
          <w:b/>
          <w:sz w:val="22"/>
          <w:szCs w:val="22"/>
        </w:rPr>
        <w:t xml:space="preserve">, </w:t>
      </w:r>
      <w:r>
        <w:rPr>
          <w:rFonts w:ascii="Book Antiqua" w:hAnsi="Book Antiqua"/>
          <w:sz w:val="22"/>
          <w:szCs w:val="22"/>
        </w:rPr>
        <w:t>admitida comprovação também, por meio de “certidão positiva com efeito de negativo”, diante da existência de débito confesso, parcelado e em fase de adimplemento;</w:t>
      </w:r>
    </w:p>
    <w:p>
      <w:pPr>
        <w:pStyle w:val="83"/>
        <w:widowControl w:val="0"/>
        <w:numPr>
          <w:ilvl w:val="2"/>
          <w:numId w:val="9"/>
        </w:numPr>
        <w:tabs>
          <w:tab w:val="left" w:pos="0"/>
          <w:tab w:val="left" w:pos="880"/>
          <w:tab w:val="clear" w:pos="1288"/>
        </w:tabs>
        <w:spacing w:after="100"/>
        <w:ind w:left="0" w:firstLine="0"/>
        <w:contextualSpacing w:val="0"/>
        <w:jc w:val="both"/>
        <w:rPr>
          <w:rFonts w:ascii="Book Antiqua" w:hAnsi="Book Antiqua"/>
          <w:sz w:val="22"/>
          <w:szCs w:val="22"/>
        </w:rPr>
      </w:pPr>
      <w:r>
        <w:rPr>
          <w:rFonts w:ascii="Book Antiqua" w:hAnsi="Book Antiqua"/>
          <w:sz w:val="22"/>
          <w:szCs w:val="22"/>
        </w:rPr>
        <w:t xml:space="preserve">Certidão de Regularidade de Débitos com a </w:t>
      </w:r>
      <w:r>
        <w:rPr>
          <w:rFonts w:ascii="Book Antiqua" w:hAnsi="Book Antiqua"/>
          <w:b/>
          <w:sz w:val="22"/>
          <w:szCs w:val="22"/>
          <w:u w:val="single"/>
        </w:rPr>
        <w:t>Fazenda Municipal</w:t>
      </w:r>
      <w:r>
        <w:rPr>
          <w:rFonts w:ascii="Book Antiqua" w:hAnsi="Book Antiqua"/>
          <w:b/>
          <w:sz w:val="22"/>
          <w:szCs w:val="22"/>
        </w:rPr>
        <w:t>,</w:t>
      </w:r>
      <w:r>
        <w:rPr>
          <w:rFonts w:ascii="Book Antiqua" w:hAnsi="Book Antiqua"/>
          <w:sz w:val="22"/>
          <w:szCs w:val="22"/>
        </w:rPr>
        <w:t xml:space="preserve"> admitida comprovação também, por meio de “certidão positiva com efeito de negativo”, diante da existência de débito confesso, parcelado e em fase de adimplemento;</w:t>
      </w:r>
    </w:p>
    <w:p>
      <w:pPr>
        <w:pStyle w:val="83"/>
        <w:widowControl w:val="0"/>
        <w:numPr>
          <w:ilvl w:val="2"/>
          <w:numId w:val="9"/>
        </w:numPr>
        <w:tabs>
          <w:tab w:val="left" w:pos="0"/>
          <w:tab w:val="left" w:pos="880"/>
          <w:tab w:val="clear" w:pos="1288"/>
        </w:tabs>
        <w:spacing w:after="100"/>
        <w:ind w:left="0" w:firstLine="0"/>
        <w:contextualSpacing w:val="0"/>
        <w:jc w:val="both"/>
        <w:rPr>
          <w:rFonts w:ascii="Book Antiqua" w:hAnsi="Book Antiqua"/>
          <w:sz w:val="22"/>
          <w:szCs w:val="22"/>
        </w:rPr>
      </w:pPr>
      <w:r>
        <w:rPr>
          <w:rFonts w:ascii="Book Antiqua" w:hAnsi="Book Antiqua"/>
          <w:sz w:val="22"/>
          <w:szCs w:val="22"/>
        </w:rPr>
        <w:t xml:space="preserve">Certidão de Regularidade do </w:t>
      </w:r>
      <w:r>
        <w:rPr>
          <w:rFonts w:ascii="Book Antiqua" w:hAnsi="Book Antiqua"/>
          <w:b/>
          <w:sz w:val="22"/>
          <w:szCs w:val="22"/>
          <w:u w:val="single"/>
        </w:rPr>
        <w:t>FGTS</w:t>
      </w:r>
      <w:r>
        <w:rPr>
          <w:rFonts w:ascii="Book Antiqua" w:hAnsi="Book Antiqua"/>
          <w:sz w:val="22"/>
          <w:szCs w:val="22"/>
          <w:u w:val="single"/>
        </w:rPr>
        <w:t>,</w:t>
      </w:r>
      <w:r>
        <w:rPr>
          <w:rFonts w:ascii="Book Antiqua" w:hAnsi="Book Antiqua"/>
          <w:sz w:val="22"/>
          <w:szCs w:val="22"/>
        </w:rPr>
        <w:t xml:space="preserve"> admitida comprovação também, por meio de “certidão positiva com efeito de negativo”, diante da existência de débito confesso, parcelado e em fase de adimplemento;</w:t>
      </w:r>
    </w:p>
    <w:p>
      <w:pPr>
        <w:pStyle w:val="83"/>
        <w:widowControl w:val="0"/>
        <w:numPr>
          <w:ilvl w:val="2"/>
          <w:numId w:val="9"/>
        </w:numPr>
        <w:tabs>
          <w:tab w:val="left" w:pos="0"/>
          <w:tab w:val="left" w:pos="880"/>
          <w:tab w:val="clear" w:pos="1288"/>
        </w:tabs>
        <w:spacing w:after="100"/>
        <w:ind w:left="0" w:firstLine="0"/>
        <w:contextualSpacing w:val="0"/>
        <w:jc w:val="both"/>
        <w:rPr>
          <w:rFonts w:ascii="Book Antiqua" w:hAnsi="Book Antiqua"/>
          <w:b/>
          <w:sz w:val="22"/>
          <w:szCs w:val="22"/>
        </w:rPr>
      </w:pPr>
      <w:r>
        <w:rPr>
          <w:rFonts w:ascii="Book Antiqua" w:hAnsi="Book Antiqua"/>
          <w:sz w:val="22"/>
          <w:szCs w:val="22"/>
        </w:rPr>
        <w:t xml:space="preserve">Certidão de Regularidade de Débito – </w:t>
      </w:r>
      <w:r>
        <w:rPr>
          <w:rFonts w:ascii="Book Antiqua" w:hAnsi="Book Antiqua"/>
          <w:b/>
          <w:sz w:val="22"/>
          <w:szCs w:val="22"/>
        </w:rPr>
        <w:t>CNDT</w:t>
      </w:r>
      <w:r>
        <w:rPr>
          <w:rFonts w:ascii="Book Antiqua" w:hAnsi="Book Antiqua"/>
          <w:sz w:val="22"/>
          <w:szCs w:val="22"/>
        </w:rPr>
        <w:t>, para comprovar a inexistência de débitos inadimplidos perante a Justiça do Trabalho, admitida comprovação também, por meio de “certidão positiva com efeito de negativo”, diante da existência de débito confesso, parcelado e em fase de adimplemento.</w:t>
      </w:r>
    </w:p>
    <w:p>
      <w:pPr>
        <w:pStyle w:val="83"/>
        <w:widowControl w:val="0"/>
        <w:numPr>
          <w:ilvl w:val="2"/>
          <w:numId w:val="9"/>
        </w:numPr>
        <w:tabs>
          <w:tab w:val="left" w:pos="0"/>
          <w:tab w:val="left" w:pos="880"/>
          <w:tab w:val="clear" w:pos="1288"/>
        </w:tabs>
        <w:spacing w:after="100"/>
        <w:ind w:left="0" w:firstLine="0"/>
        <w:contextualSpacing w:val="0"/>
        <w:jc w:val="both"/>
        <w:rPr>
          <w:rFonts w:ascii="Book Antiqua" w:hAnsi="Book Antiqua"/>
          <w:b/>
          <w:sz w:val="22"/>
          <w:szCs w:val="22"/>
        </w:rPr>
      </w:pPr>
      <w:r>
        <w:rPr>
          <w:rFonts w:ascii="Book Antiqua" w:hAnsi="Book Antiqua"/>
          <w:sz w:val="22"/>
          <w:szCs w:val="22"/>
        </w:rPr>
        <w:t xml:space="preserve">Prova de inscrição no Cadastro Nacional de Pessoas Jurídicas – </w:t>
      </w:r>
      <w:r>
        <w:rPr>
          <w:rFonts w:ascii="Book Antiqua" w:hAnsi="Book Antiqua"/>
          <w:b/>
          <w:sz w:val="22"/>
          <w:szCs w:val="22"/>
        </w:rPr>
        <w:t>CNPJ.</w:t>
      </w:r>
    </w:p>
    <w:p>
      <w:pPr>
        <w:pStyle w:val="83"/>
        <w:numPr>
          <w:ilvl w:val="1"/>
          <w:numId w:val="9"/>
        </w:numPr>
        <w:spacing w:after="120"/>
        <w:ind w:left="0" w:firstLine="0"/>
        <w:contextualSpacing w:val="0"/>
        <w:rPr>
          <w:rFonts w:ascii="Book Antiqua" w:hAnsi="Book Antiqua"/>
          <w:b/>
          <w:bCs/>
          <w:sz w:val="22"/>
          <w:szCs w:val="22"/>
          <w:highlight w:val="yellow"/>
          <w:u w:val="single"/>
        </w:rPr>
      </w:pPr>
      <w:r>
        <w:rPr>
          <w:rFonts w:ascii="Book Antiqua" w:hAnsi="Book Antiqua"/>
          <w:b/>
          <w:bCs/>
          <w:highlight w:val="yellow"/>
          <w:u w:val="single"/>
        </w:rPr>
        <w:t>DA QUALIFICAÇÃO ECONÔMICA E FINANCEIRA:</w:t>
      </w:r>
    </w:p>
    <w:p>
      <w:pPr>
        <w:pStyle w:val="83"/>
        <w:widowControl w:val="0"/>
        <w:numPr>
          <w:ilvl w:val="2"/>
          <w:numId w:val="9"/>
        </w:numPr>
        <w:tabs>
          <w:tab w:val="left" w:pos="0"/>
          <w:tab w:val="left" w:pos="851"/>
          <w:tab w:val="clear" w:pos="1288"/>
        </w:tabs>
        <w:spacing w:after="120"/>
        <w:ind w:left="8" w:hanging="8"/>
        <w:contextualSpacing w:val="0"/>
        <w:jc w:val="both"/>
        <w:rPr>
          <w:rFonts w:ascii="Book Antiqua" w:hAnsi="Book Antiqua" w:cs="Book Antiqua"/>
          <w:color w:val="000000" w:themeColor="text1"/>
          <w:sz w:val="22"/>
          <w:szCs w:val="22"/>
        </w:rPr>
      </w:pPr>
      <w:r>
        <w:rPr>
          <w:rFonts w:ascii="Book Antiqua" w:hAnsi="Book Antiqua" w:cs="Book Antiqua"/>
          <w:b/>
          <w:bCs/>
          <w:sz w:val="22"/>
          <w:szCs w:val="22"/>
        </w:rPr>
        <w:t xml:space="preserve"> Certidão Negativa de Recuperação</w:t>
      </w:r>
      <w:r>
        <w:rPr>
          <w:rFonts w:ascii="Book Antiqua" w:hAnsi="Book Antiqua" w:cs="Book Antiqua"/>
          <w:sz w:val="22"/>
          <w:szCs w:val="22"/>
        </w:rPr>
        <w:t xml:space="preserve"> </w:t>
      </w:r>
      <w:r>
        <w:rPr>
          <w:rFonts w:ascii="Book Antiqua" w:hAnsi="Book Antiqua" w:cs="Book Antiqua"/>
          <w:b/>
          <w:bCs/>
          <w:sz w:val="22"/>
          <w:szCs w:val="22"/>
        </w:rPr>
        <w:t>Judicial</w:t>
      </w:r>
      <w:r>
        <w:rPr>
          <w:rFonts w:ascii="Book Antiqua" w:hAnsi="Book Antiqua" w:cs="Book Antiqua"/>
          <w:sz w:val="22"/>
          <w:szCs w:val="22"/>
        </w:rPr>
        <w:t xml:space="preserve"> – Lei n° 11.101/05 (falência e concordata) emitida pelo </w:t>
      </w:r>
      <w:r>
        <w:rPr>
          <w:rFonts w:ascii="Book Antiqua" w:hAnsi="Book Antiqua" w:cs="Book Antiqua"/>
          <w:color w:val="000000" w:themeColor="text1"/>
          <w:sz w:val="22"/>
          <w:szCs w:val="22"/>
        </w:rPr>
        <w:t xml:space="preserve">órgão competente, </w:t>
      </w:r>
      <w:r>
        <w:rPr>
          <w:rFonts w:ascii="Book Antiqua" w:hAnsi="Book Antiqua" w:cs="Book Antiqua"/>
          <w:b/>
          <w:bCs/>
          <w:color w:val="000000" w:themeColor="text1"/>
          <w:sz w:val="22"/>
          <w:szCs w:val="22"/>
        </w:rPr>
        <w:t>EXPEDIDA NOS ÚLTIMOS 90 (Noventa)</w:t>
      </w:r>
      <w:r>
        <w:rPr>
          <w:rFonts w:ascii="Book Antiqua" w:hAnsi="Book Antiqua" w:cs="Book Antiqua"/>
          <w:color w:val="000000" w:themeColor="text1"/>
          <w:sz w:val="22"/>
          <w:szCs w:val="22"/>
        </w:rPr>
        <w:t xml:space="preserve"> dias caso não conste o prazo de validade;</w:t>
      </w:r>
    </w:p>
    <w:p>
      <w:pPr>
        <w:pStyle w:val="83"/>
        <w:widowControl w:val="0"/>
        <w:numPr>
          <w:ilvl w:val="2"/>
          <w:numId w:val="9"/>
        </w:numPr>
        <w:tabs>
          <w:tab w:val="left" w:pos="0"/>
          <w:tab w:val="left" w:pos="851"/>
          <w:tab w:val="clear" w:pos="1288"/>
        </w:tabs>
        <w:spacing w:after="120"/>
        <w:ind w:left="8" w:hanging="8"/>
        <w:contextualSpacing w:val="0"/>
        <w:jc w:val="both"/>
        <w:rPr>
          <w:rFonts w:ascii="Book Antiqua" w:hAnsi="Book Antiqua" w:cs="Book Antiqua"/>
          <w:color w:val="000000" w:themeColor="text1"/>
          <w:sz w:val="22"/>
          <w:szCs w:val="22"/>
        </w:rPr>
      </w:pPr>
      <w:r>
        <w:rPr>
          <w:rFonts w:ascii="Book Antiqua" w:hAnsi="Book Antiqua" w:cs="Book Antiqua"/>
          <w:color w:val="000000" w:themeColor="text1"/>
          <w:sz w:val="22"/>
          <w:szCs w:val="22"/>
        </w:rPr>
        <w:t xml:space="preserve"> Nas hipóteses em que a certidão prevista na alínea anterior seja positiva, deve o licitante apresentar comprovante da homologação/deferimento pelo juízo competente do plano de recuperação judicial/extrajudicial em vigor, devendo ainda demonstrar que a contratação respeita os limites previstos no seu plano de recuperação.</w:t>
      </w:r>
    </w:p>
    <w:p>
      <w:pPr>
        <w:pStyle w:val="83"/>
        <w:numPr>
          <w:ilvl w:val="1"/>
          <w:numId w:val="9"/>
        </w:numPr>
        <w:spacing w:after="120"/>
        <w:ind w:left="0" w:firstLine="0"/>
        <w:contextualSpacing w:val="0"/>
        <w:rPr>
          <w:rFonts w:ascii="Book Antiqua" w:hAnsi="Book Antiqua"/>
          <w:b/>
          <w:bCs/>
          <w:highlight w:val="yellow"/>
          <w:u w:val="single"/>
        </w:rPr>
      </w:pPr>
      <w:r>
        <w:rPr>
          <w:rFonts w:ascii="Book Antiqua" w:hAnsi="Book Antiqua"/>
          <w:b/>
          <w:bCs/>
          <w:highlight w:val="yellow"/>
          <w:u w:val="single"/>
        </w:rPr>
        <w:t xml:space="preserve">DA QUALIFICAÇÃO TÉCNICA DA EMPRESA: </w:t>
      </w:r>
    </w:p>
    <w:p>
      <w:pPr>
        <w:pStyle w:val="83"/>
        <w:widowControl w:val="0"/>
        <w:numPr>
          <w:ilvl w:val="2"/>
          <w:numId w:val="9"/>
        </w:numPr>
        <w:tabs>
          <w:tab w:val="left" w:pos="0"/>
          <w:tab w:val="left" w:pos="142"/>
          <w:tab w:val="left" w:pos="851"/>
          <w:tab w:val="clear" w:pos="1288"/>
        </w:tabs>
        <w:spacing w:after="120"/>
        <w:ind w:left="0" w:leftChars="0" w:firstLine="0" w:firstLineChars="0"/>
        <w:contextualSpacing w:val="0"/>
        <w:jc w:val="both"/>
        <w:rPr>
          <w:rFonts w:ascii="Book Antiqua" w:hAnsi="Book Antiqua"/>
          <w:color w:val="000000" w:themeColor="text1"/>
          <w:sz w:val="22"/>
          <w:szCs w:val="22"/>
        </w:rPr>
      </w:pPr>
      <w:r>
        <w:rPr>
          <w:rFonts w:ascii="Book Antiqua" w:hAnsi="Book Antiqua" w:eastAsia="SimSun" w:cs="Book Antiqua"/>
          <w:color w:val="000000"/>
          <w:lang w:eastAsia="zh-CN" w:bidi="ar"/>
        </w:rPr>
        <w:t xml:space="preserve"> </w:t>
      </w:r>
      <w:r>
        <w:rPr>
          <w:rFonts w:ascii="Book Antiqua" w:hAnsi="Book Antiqua"/>
          <w:bCs/>
          <w:sz w:val="22"/>
          <w:szCs w:val="22"/>
        </w:rPr>
        <w:t xml:space="preserve">Apresentação de pelo menos um </w:t>
      </w:r>
      <w:r>
        <w:rPr>
          <w:rFonts w:ascii="Book Antiqua" w:hAnsi="Book Antiqua"/>
          <w:b/>
          <w:bCs/>
          <w:sz w:val="22"/>
          <w:szCs w:val="22"/>
          <w:u w:val="single"/>
        </w:rPr>
        <w:t>Atestado(s) de Capacidade Técnica</w:t>
      </w:r>
      <w:r>
        <w:rPr>
          <w:rFonts w:ascii="Book Antiqua" w:hAnsi="Book Antiqua"/>
          <w:bCs/>
          <w:sz w:val="22"/>
          <w:szCs w:val="22"/>
        </w:rPr>
        <w:t xml:space="preserve"> (declaração ou certidão) fornecidos por pessoa jurídica de direito público ou privado em nome da licitante, comprovando/declarando a aptidão ou desempenho da licitante para fornecimento dos objetos compatível em características com o objeto da licitação.</w:t>
      </w:r>
    </w:p>
    <w:p>
      <w:pPr>
        <w:pStyle w:val="83"/>
        <w:widowControl w:val="0"/>
        <w:numPr>
          <w:ilvl w:val="2"/>
          <w:numId w:val="9"/>
        </w:numPr>
        <w:tabs>
          <w:tab w:val="left" w:pos="0"/>
          <w:tab w:val="left" w:pos="142"/>
          <w:tab w:val="left" w:pos="851"/>
          <w:tab w:val="clear" w:pos="1288"/>
        </w:tabs>
        <w:spacing w:after="120"/>
        <w:ind w:left="0" w:leftChars="0" w:firstLine="0" w:firstLineChars="0"/>
        <w:contextualSpacing w:val="0"/>
        <w:jc w:val="both"/>
        <w:rPr>
          <w:rFonts w:ascii="Book Antiqua" w:hAnsi="Book Antiqua"/>
          <w:color w:val="000000" w:themeColor="text1"/>
          <w:sz w:val="22"/>
          <w:szCs w:val="22"/>
        </w:rPr>
      </w:pPr>
      <w:r>
        <w:rPr>
          <w:rFonts w:hint="default" w:ascii="Book Antiqua" w:hAnsi="Book Antiqua"/>
          <w:bCs/>
          <w:sz w:val="22"/>
          <w:szCs w:val="22"/>
          <w:lang w:val="pt-BR"/>
        </w:rPr>
        <w:t xml:space="preserve"> </w:t>
      </w:r>
      <w:r>
        <w:rPr>
          <w:rFonts w:ascii="Book Antiqua" w:hAnsi="Book Antiqua"/>
          <w:sz w:val="22"/>
          <w:szCs w:val="22"/>
        </w:rPr>
        <w:t xml:space="preserve">O atestado de </w:t>
      </w:r>
      <w:r>
        <w:rPr>
          <w:rFonts w:ascii="Book Antiqua" w:hAnsi="Book Antiqua" w:eastAsia="Arial"/>
          <w:sz w:val="22"/>
          <w:szCs w:val="22"/>
        </w:rPr>
        <w:t>capacidade técnica</w:t>
      </w:r>
      <w:r>
        <w:rPr>
          <w:rFonts w:ascii="Book Antiqua" w:hAnsi="Book Antiqua"/>
          <w:sz w:val="22"/>
          <w:szCs w:val="22"/>
        </w:rPr>
        <w:t xml:space="preserve"> </w:t>
      </w:r>
      <w:r>
        <w:rPr>
          <w:rFonts w:ascii="Book Antiqua" w:hAnsi="Book Antiqua" w:eastAsia="Arial"/>
          <w:sz w:val="22"/>
          <w:szCs w:val="22"/>
        </w:rPr>
        <w:t xml:space="preserve">emitido por </w:t>
      </w:r>
      <w:r>
        <w:rPr>
          <w:rFonts w:ascii="Book Antiqua" w:hAnsi="Book Antiqua" w:eastAsia="Arial"/>
          <w:b/>
          <w:sz w:val="22"/>
          <w:szCs w:val="22"/>
          <w:u w:val="single"/>
        </w:rPr>
        <w:t>pessoa jurídica de direito privado</w:t>
      </w:r>
      <w:r>
        <w:rPr>
          <w:rFonts w:ascii="Book Antiqua" w:hAnsi="Book Antiqua" w:eastAsia="Arial"/>
          <w:sz w:val="22"/>
          <w:szCs w:val="22"/>
        </w:rPr>
        <w:t xml:space="preserve"> </w:t>
      </w:r>
      <w:r>
        <w:rPr>
          <w:rFonts w:ascii="Book Antiqua" w:hAnsi="Book Antiqua"/>
          <w:sz w:val="22"/>
          <w:szCs w:val="22"/>
        </w:rPr>
        <w:t>deverá indicar dados da entidade emissora (razão social, CNPJ, endereço, telefone, e-mail, data de emissão) e dos signatários do documento (nome, função, telefone, etc.). Além da descrição detalhada do objeto, quantidades e prazos de fornecimento dos materiais.</w:t>
      </w:r>
    </w:p>
    <w:p>
      <w:pPr>
        <w:pStyle w:val="83"/>
        <w:widowControl w:val="0"/>
        <w:numPr>
          <w:ilvl w:val="2"/>
          <w:numId w:val="9"/>
        </w:numPr>
        <w:tabs>
          <w:tab w:val="left" w:pos="0"/>
          <w:tab w:val="left" w:pos="142"/>
          <w:tab w:val="left" w:pos="851"/>
          <w:tab w:val="clear" w:pos="1288"/>
        </w:tabs>
        <w:spacing w:after="120"/>
        <w:ind w:left="0" w:leftChars="0" w:firstLine="0" w:firstLineChars="0"/>
        <w:contextualSpacing w:val="0"/>
        <w:jc w:val="both"/>
        <w:rPr>
          <w:rFonts w:ascii="Book Antiqua" w:hAnsi="Book Antiqua"/>
          <w:color w:val="000000" w:themeColor="text1"/>
          <w:sz w:val="22"/>
          <w:szCs w:val="22"/>
        </w:rPr>
      </w:pPr>
      <w:r>
        <w:rPr>
          <w:rFonts w:ascii="Book Antiqua" w:hAnsi="Book Antiqua"/>
          <w:sz w:val="22"/>
          <w:szCs w:val="22"/>
        </w:rPr>
        <w:t>Todas as informações prestadas no Atestado de Capacidade Técnica estarão sujeitas a verificação e</w:t>
      </w:r>
      <w:r>
        <w:rPr>
          <w:rFonts w:ascii="Book Antiqua" w:hAnsi="Book Antiqua"/>
          <w:color w:val="000000"/>
          <w:sz w:val="22"/>
          <w:szCs w:val="22"/>
        </w:rPr>
        <w:t xml:space="preserve"> confirmação de autenticidade, exatidão e veracidade</w:t>
      </w:r>
      <w:r>
        <w:rPr>
          <w:rFonts w:ascii="Book Antiqua" w:hAnsi="Book Antiqua"/>
          <w:sz w:val="22"/>
          <w:szCs w:val="22"/>
        </w:rPr>
        <w:t xml:space="preserve"> através de diligência, conforme previsto no art. 43, § 3° da Lei nº 8.666/93, </w:t>
      </w:r>
      <w:r>
        <w:rPr>
          <w:rFonts w:ascii="Book Antiqua" w:hAnsi="Book Antiqua"/>
          <w:color w:val="000000"/>
          <w:sz w:val="22"/>
          <w:szCs w:val="22"/>
        </w:rPr>
        <w:t>sujeitando o emissor às penalidades previstas em lei caso ateste informações inverídicas</w:t>
      </w:r>
      <w:r>
        <w:rPr>
          <w:rFonts w:ascii="Book Antiqua" w:hAnsi="Book Antiqua"/>
          <w:sz w:val="22"/>
          <w:szCs w:val="22"/>
        </w:rPr>
        <w:t>. Por decisão do Pregoeiro, poderá ser aberto prazo ao licitante para atendimento a diligência, que poderá ser realizada por convocação através do próprio sistema comprasnet</w:t>
      </w:r>
      <w:r>
        <w:rPr>
          <w:rFonts w:ascii="Book Antiqua" w:hAnsi="Book Antiqua" w:eastAsia="Arial"/>
          <w:sz w:val="22"/>
          <w:szCs w:val="22"/>
        </w:rPr>
        <w:t>.</w:t>
      </w:r>
    </w:p>
    <w:p>
      <w:pPr>
        <w:pStyle w:val="83"/>
        <w:widowControl w:val="0"/>
        <w:numPr>
          <w:ilvl w:val="2"/>
          <w:numId w:val="9"/>
        </w:numPr>
        <w:tabs>
          <w:tab w:val="left" w:pos="0"/>
          <w:tab w:val="left" w:pos="142"/>
          <w:tab w:val="left" w:pos="851"/>
          <w:tab w:val="clear" w:pos="1288"/>
        </w:tabs>
        <w:spacing w:after="120"/>
        <w:ind w:left="0" w:leftChars="0" w:firstLine="0" w:firstLineChars="0"/>
        <w:contextualSpacing w:val="0"/>
        <w:jc w:val="both"/>
        <w:rPr>
          <w:rFonts w:ascii="Book Antiqua" w:hAnsi="Book Antiqua"/>
          <w:color w:val="000000" w:themeColor="text1"/>
          <w:sz w:val="22"/>
          <w:szCs w:val="22"/>
        </w:rPr>
      </w:pPr>
      <w:r>
        <w:rPr>
          <w:rFonts w:ascii="Book Antiqua" w:hAnsi="Book Antiqua"/>
          <w:color w:val="000000"/>
          <w:sz w:val="22"/>
          <w:szCs w:val="22"/>
        </w:rPr>
        <w:t>Caso haja necessidade, a Administração reserva-se ao direito de solicitar a apresentação de cópia(s) da(s) Nota(s) Fiscal(is) e correspondentes ao(s) Atestado(s) de Capacidade Técnica apresentados.</w:t>
      </w:r>
    </w:p>
    <w:p>
      <w:pPr>
        <w:pStyle w:val="83"/>
        <w:numPr>
          <w:ilvl w:val="1"/>
          <w:numId w:val="9"/>
        </w:numPr>
        <w:spacing w:after="120"/>
        <w:ind w:left="0" w:firstLine="0"/>
        <w:contextualSpacing w:val="0"/>
        <w:rPr>
          <w:rFonts w:ascii="Book Antiqua" w:hAnsi="Book Antiqua"/>
          <w:b/>
          <w:bCs/>
          <w:highlight w:val="yellow"/>
          <w:u w:val="single"/>
        </w:rPr>
      </w:pPr>
      <w:r>
        <w:rPr>
          <w:rFonts w:ascii="Book Antiqua" w:hAnsi="Book Antiqua"/>
          <w:b/>
          <w:bCs/>
          <w:highlight w:val="yellow"/>
          <w:u w:val="single"/>
        </w:rPr>
        <w:t>DAS DECLARAÇÕES:</w:t>
      </w:r>
    </w:p>
    <w:p>
      <w:pPr>
        <w:pStyle w:val="83"/>
        <w:numPr>
          <w:ilvl w:val="2"/>
          <w:numId w:val="9"/>
        </w:numPr>
        <w:tabs>
          <w:tab w:val="left" w:pos="880"/>
          <w:tab w:val="clear" w:pos="1288"/>
        </w:tabs>
        <w:spacing w:after="120"/>
        <w:ind w:left="0" w:firstLine="0"/>
        <w:contextualSpacing w:val="0"/>
        <w:jc w:val="both"/>
        <w:rPr>
          <w:rFonts w:ascii="Book Antiqua" w:hAnsi="Book Antiqua"/>
          <w:b/>
          <w:bCs/>
          <w:color w:val="FF0000"/>
          <w:highlight w:val="yellow"/>
        </w:rPr>
      </w:pPr>
      <w:r>
        <w:rPr>
          <w:rFonts w:ascii="Book Antiqua" w:hAnsi="Book Antiqua"/>
          <w:b/>
          <w:bCs/>
          <w:color w:val="000000" w:themeColor="text1"/>
          <w:highlight w:val="yellow"/>
        </w:rPr>
        <w:t xml:space="preserve"> DECLARAÇÕES A SEREM </w:t>
      </w:r>
      <w:r>
        <w:rPr>
          <w:rFonts w:ascii="Book Antiqua" w:hAnsi="Book Antiqua"/>
          <w:b/>
          <w:bCs/>
          <w:color w:val="000000" w:themeColor="text1"/>
          <w:highlight w:val="yellow"/>
          <w:u w:val="single"/>
        </w:rPr>
        <w:t>ANEXADAS JUNTO COM A HABILITAÇÃO</w:t>
      </w:r>
      <w:r>
        <w:rPr>
          <w:rFonts w:ascii="Book Antiqua" w:hAnsi="Book Antiqua"/>
          <w:b/>
          <w:bCs/>
          <w:color w:val="000000" w:themeColor="text1"/>
          <w:highlight w:val="yellow"/>
        </w:rPr>
        <w:t>.</w:t>
      </w:r>
      <w:r>
        <w:rPr>
          <w:rFonts w:ascii="Book Antiqua" w:hAnsi="Book Antiqua"/>
          <w:b/>
          <w:bCs/>
          <w:color w:val="FF0000"/>
          <w:highlight w:val="yellow"/>
        </w:rPr>
        <w:t xml:space="preserve"> </w:t>
      </w:r>
    </w:p>
    <w:p>
      <w:pPr>
        <w:pStyle w:val="83"/>
        <w:keepNext w:val="0"/>
        <w:keepLines w:val="0"/>
        <w:pageBreakBefore w:val="0"/>
        <w:widowControl/>
        <w:numPr>
          <w:ilvl w:val="0"/>
          <w:numId w:val="0"/>
        </w:numPr>
        <w:kinsoku/>
        <w:wordWrap/>
        <w:overflowPunct/>
        <w:topLinePunct w:val="0"/>
        <w:autoSpaceDE/>
        <w:autoSpaceDN/>
        <w:bidi w:val="0"/>
        <w:adjustRightInd/>
        <w:snapToGrid/>
        <w:spacing w:after="120"/>
        <w:contextualSpacing w:val="0"/>
        <w:jc w:val="both"/>
        <w:textAlignment w:val="auto"/>
        <w:rPr>
          <w:rFonts w:ascii="Book Antiqua" w:hAnsi="Book Antiqua"/>
          <w:sz w:val="22"/>
          <w:szCs w:val="22"/>
          <w:highlight w:val="none"/>
        </w:rPr>
      </w:pPr>
      <w:r>
        <w:rPr>
          <w:rFonts w:hint="default" w:ascii="Book Antiqua" w:hAnsi="Book Antiqua"/>
          <w:b/>
          <w:bCs/>
          <w:sz w:val="22"/>
          <w:szCs w:val="22"/>
          <w:lang w:val="pt-BR"/>
        </w:rPr>
        <w:t>a)</w:t>
      </w:r>
      <w:r>
        <w:rPr>
          <w:rFonts w:hint="default" w:ascii="Book Antiqua" w:hAnsi="Book Antiqua"/>
          <w:sz w:val="22"/>
          <w:szCs w:val="22"/>
          <w:lang w:val="pt-BR"/>
        </w:rPr>
        <w:t xml:space="preserve"> </w:t>
      </w:r>
      <w:r>
        <w:rPr>
          <w:rFonts w:ascii="Book Antiqua" w:hAnsi="Book Antiqua"/>
          <w:sz w:val="22"/>
          <w:szCs w:val="22"/>
        </w:rPr>
        <w:t>A licitante deverá apresentar</w:t>
      </w:r>
      <w:r>
        <w:rPr>
          <w:rFonts w:hint="default" w:ascii="Book Antiqua" w:hAnsi="Book Antiqua"/>
          <w:sz w:val="22"/>
          <w:szCs w:val="22"/>
          <w:lang w:val="pt-BR"/>
        </w:rPr>
        <w:t xml:space="preserve"> </w:t>
      </w:r>
      <w:r>
        <w:rPr>
          <w:rFonts w:ascii="Book Antiqua" w:hAnsi="Book Antiqua"/>
          <w:b/>
          <w:bCs/>
          <w:sz w:val="22"/>
          <w:szCs w:val="22"/>
          <w:u w:val="single"/>
        </w:rPr>
        <w:t>Declaração de autenticidade</w:t>
      </w:r>
      <w:r>
        <w:rPr>
          <w:rFonts w:ascii="Book Antiqua" w:hAnsi="Book Antiqua"/>
          <w:sz w:val="22"/>
          <w:szCs w:val="22"/>
        </w:rPr>
        <w:t xml:space="preserve">, conforme modelo constante no </w:t>
      </w:r>
      <w:r>
        <w:rPr>
          <w:rFonts w:hint="default" w:ascii="Book Antiqua" w:hAnsi="Book Antiqua"/>
          <w:sz w:val="22"/>
          <w:szCs w:val="22"/>
          <w:lang w:val="pt-BR"/>
        </w:rPr>
        <w:t xml:space="preserve">     </w:t>
      </w:r>
      <w:r>
        <w:rPr>
          <w:rFonts w:ascii="Book Antiqua" w:hAnsi="Book Antiqua"/>
          <w:b/>
          <w:bCs/>
          <w:sz w:val="22"/>
          <w:szCs w:val="22"/>
          <w:highlight w:val="none"/>
        </w:rPr>
        <w:t>Anexo III</w:t>
      </w:r>
      <w:r>
        <w:rPr>
          <w:rFonts w:ascii="Book Antiqua" w:hAnsi="Book Antiqua"/>
          <w:sz w:val="22"/>
          <w:szCs w:val="22"/>
          <w:highlight w:val="none"/>
        </w:rPr>
        <w:t xml:space="preserve"> deste Edital; </w:t>
      </w:r>
    </w:p>
    <w:p>
      <w:pPr>
        <w:pStyle w:val="83"/>
        <w:keepNext w:val="0"/>
        <w:keepLines w:val="0"/>
        <w:pageBreakBefore w:val="0"/>
        <w:widowControl/>
        <w:kinsoku/>
        <w:wordWrap/>
        <w:overflowPunct/>
        <w:topLinePunct w:val="0"/>
        <w:autoSpaceDE/>
        <w:autoSpaceDN/>
        <w:bidi w:val="0"/>
        <w:adjustRightInd/>
        <w:snapToGrid/>
        <w:spacing w:after="120"/>
        <w:ind w:left="0"/>
        <w:contextualSpacing w:val="0"/>
        <w:jc w:val="both"/>
        <w:textAlignment w:val="auto"/>
        <w:rPr>
          <w:rFonts w:ascii="Book Antiqua" w:hAnsi="Book Antiqua"/>
          <w:sz w:val="22"/>
          <w:szCs w:val="22"/>
          <w:highlight w:val="none"/>
        </w:rPr>
      </w:pPr>
      <w:r>
        <w:rPr>
          <w:rFonts w:hint="default" w:ascii="Book Antiqua" w:hAnsi="Book Antiqua"/>
          <w:b/>
          <w:bCs/>
          <w:sz w:val="22"/>
          <w:szCs w:val="22"/>
          <w:highlight w:val="none"/>
          <w:lang w:val="pt-BR"/>
        </w:rPr>
        <w:t>b</w:t>
      </w:r>
      <w:r>
        <w:rPr>
          <w:rFonts w:ascii="Book Antiqua" w:hAnsi="Book Antiqua"/>
          <w:b/>
          <w:bCs/>
          <w:sz w:val="22"/>
          <w:szCs w:val="22"/>
          <w:highlight w:val="none"/>
        </w:rPr>
        <w:t>)</w:t>
      </w:r>
      <w:r>
        <w:rPr>
          <w:rFonts w:ascii="Book Antiqua" w:hAnsi="Book Antiqua"/>
          <w:sz w:val="22"/>
          <w:szCs w:val="22"/>
          <w:highlight w:val="none"/>
        </w:rPr>
        <w:t xml:space="preserve"> A licitante deverá apresentar </w:t>
      </w:r>
      <w:r>
        <w:rPr>
          <w:rFonts w:ascii="Book Antiqua" w:hAnsi="Book Antiqua"/>
          <w:b/>
          <w:bCs/>
          <w:sz w:val="22"/>
          <w:szCs w:val="22"/>
          <w:highlight w:val="none"/>
          <w:u w:val="single"/>
        </w:rPr>
        <w:t>Declaração de Sustentabilidade Ambiental</w:t>
      </w:r>
      <w:r>
        <w:rPr>
          <w:rFonts w:hint="default" w:ascii="Book Antiqua" w:hAnsi="Book Antiqua"/>
          <w:b/>
          <w:bCs/>
          <w:sz w:val="22"/>
          <w:szCs w:val="22"/>
          <w:highlight w:val="none"/>
          <w:lang w:val="pt-BR"/>
        </w:rPr>
        <w:t>,</w:t>
      </w:r>
      <w:r>
        <w:rPr>
          <w:rFonts w:ascii="Book Antiqua" w:hAnsi="Book Antiqua"/>
          <w:sz w:val="22"/>
          <w:szCs w:val="22"/>
          <w:highlight w:val="none"/>
        </w:rPr>
        <w:t xml:space="preserve"> conforme modelo constante no </w:t>
      </w:r>
      <w:r>
        <w:rPr>
          <w:rFonts w:ascii="Book Antiqua" w:hAnsi="Book Antiqua"/>
          <w:b/>
          <w:bCs/>
          <w:sz w:val="22"/>
          <w:szCs w:val="22"/>
          <w:highlight w:val="none"/>
        </w:rPr>
        <w:t>Anexo IV</w:t>
      </w:r>
      <w:r>
        <w:rPr>
          <w:rFonts w:ascii="Book Antiqua" w:hAnsi="Book Antiqua"/>
          <w:sz w:val="22"/>
          <w:szCs w:val="22"/>
          <w:highlight w:val="none"/>
        </w:rPr>
        <w:t xml:space="preserve"> deste Edital. </w:t>
      </w:r>
    </w:p>
    <w:p>
      <w:pPr>
        <w:pStyle w:val="83"/>
        <w:keepNext w:val="0"/>
        <w:keepLines w:val="0"/>
        <w:pageBreakBefore w:val="0"/>
        <w:widowControl/>
        <w:kinsoku/>
        <w:wordWrap/>
        <w:overflowPunct/>
        <w:topLinePunct w:val="0"/>
        <w:autoSpaceDE/>
        <w:autoSpaceDN/>
        <w:bidi w:val="0"/>
        <w:adjustRightInd/>
        <w:snapToGrid/>
        <w:spacing w:after="120"/>
        <w:ind w:left="0"/>
        <w:contextualSpacing w:val="0"/>
        <w:jc w:val="both"/>
        <w:textAlignment w:val="auto"/>
        <w:rPr>
          <w:rFonts w:ascii="Book Antiqua" w:hAnsi="Book Antiqua"/>
          <w:sz w:val="22"/>
          <w:szCs w:val="22"/>
        </w:rPr>
      </w:pPr>
      <w:r>
        <w:rPr>
          <w:rFonts w:hint="default" w:ascii="Book Antiqua" w:hAnsi="Book Antiqua"/>
          <w:b/>
          <w:bCs/>
          <w:sz w:val="22"/>
          <w:szCs w:val="22"/>
          <w:highlight w:val="none"/>
          <w:lang w:val="pt-BR"/>
        </w:rPr>
        <w:t xml:space="preserve">c) </w:t>
      </w:r>
      <w:r>
        <w:rPr>
          <w:rFonts w:hint="default" w:ascii="Book Antiqua" w:hAnsi="Book Antiqua" w:cs="Book Antiqua"/>
          <w:sz w:val="22"/>
          <w:szCs w:val="22"/>
          <w:highlight w:val="none"/>
        </w:rPr>
        <w:t>A licitante deverá apresentar</w:t>
      </w:r>
      <w:r>
        <w:rPr>
          <w:rFonts w:hint="default" w:ascii="Book Antiqua" w:hAnsi="Book Antiqua" w:cs="Book Antiqua"/>
          <w:sz w:val="22"/>
          <w:szCs w:val="22"/>
          <w:highlight w:val="none"/>
          <w:lang w:val="pt-BR"/>
        </w:rPr>
        <w:t xml:space="preserve"> </w:t>
      </w:r>
      <w:r>
        <w:rPr>
          <w:rFonts w:hint="default" w:ascii="Book Antiqua" w:hAnsi="Book Antiqua" w:cs="Book Antiqua"/>
          <w:b/>
          <w:bCs/>
          <w:sz w:val="22"/>
          <w:szCs w:val="22"/>
          <w:highlight w:val="none"/>
          <w:u w:val="single"/>
          <w:lang w:val="pt-BR"/>
        </w:rPr>
        <w:t>T</w:t>
      </w:r>
      <w:r>
        <w:rPr>
          <w:rFonts w:hint="default" w:ascii="Book Antiqua" w:hAnsi="Book Antiqua" w:cs="Book Antiqua"/>
          <w:b/>
          <w:bCs/>
          <w:sz w:val="22"/>
          <w:szCs w:val="22"/>
          <w:highlight w:val="none"/>
          <w:u w:val="single"/>
        </w:rPr>
        <w:t>ERMO DE CONCORDÂNCIA E VERACIDADE</w:t>
      </w:r>
      <w:r>
        <w:rPr>
          <w:rFonts w:hint="default" w:ascii="Book Antiqua" w:hAnsi="Book Antiqua" w:cs="Book Antiqua"/>
          <w:b/>
          <w:bCs/>
          <w:sz w:val="22"/>
          <w:szCs w:val="22"/>
          <w:highlight w:val="none"/>
          <w:lang w:val="pt-BR"/>
        </w:rPr>
        <w:t xml:space="preserve"> </w:t>
      </w:r>
      <w:r>
        <w:rPr>
          <w:rFonts w:hint="default" w:ascii="Book Antiqua" w:hAnsi="Book Antiqua" w:cs="Book Antiqua"/>
          <w:b/>
          <w:bCs/>
          <w:sz w:val="22"/>
          <w:szCs w:val="22"/>
          <w:highlight w:val="none"/>
        </w:rPr>
        <w:t>(Cadastro de Usuários Externos no ePROC)</w:t>
      </w:r>
      <w:r>
        <w:rPr>
          <w:rFonts w:hint="default" w:ascii="Book Antiqua" w:hAnsi="Book Antiqua" w:cs="Book Antiqua"/>
          <w:b/>
          <w:bCs/>
          <w:sz w:val="22"/>
          <w:szCs w:val="22"/>
          <w:highlight w:val="none"/>
          <w:lang w:val="pt-BR"/>
        </w:rPr>
        <w:t xml:space="preserve">, </w:t>
      </w:r>
      <w:r>
        <w:rPr>
          <w:rFonts w:hint="default" w:ascii="Book Antiqua" w:hAnsi="Book Antiqua" w:cs="Book Antiqua"/>
          <w:sz w:val="22"/>
          <w:szCs w:val="22"/>
          <w:highlight w:val="none"/>
        </w:rPr>
        <w:t xml:space="preserve">conforme modelo constante no </w:t>
      </w:r>
      <w:r>
        <w:rPr>
          <w:rFonts w:hint="default" w:ascii="Book Antiqua" w:hAnsi="Book Antiqua" w:cs="Book Antiqua"/>
          <w:b/>
          <w:bCs/>
          <w:sz w:val="22"/>
          <w:szCs w:val="22"/>
          <w:highlight w:val="none"/>
        </w:rPr>
        <w:t xml:space="preserve">Anexo </w:t>
      </w:r>
      <w:r>
        <w:rPr>
          <w:rFonts w:hint="default" w:ascii="Book Antiqua" w:hAnsi="Book Antiqua" w:cs="Book Antiqua"/>
          <w:b/>
          <w:bCs/>
          <w:sz w:val="22"/>
          <w:szCs w:val="22"/>
          <w:highlight w:val="none"/>
          <w:lang w:val="pt-BR"/>
        </w:rPr>
        <w:t>IX</w:t>
      </w:r>
      <w:r>
        <w:rPr>
          <w:rFonts w:hint="default" w:ascii="Book Antiqua" w:hAnsi="Book Antiqua" w:cs="Book Antiqua"/>
          <w:sz w:val="22"/>
          <w:szCs w:val="22"/>
          <w:highlight w:val="none"/>
        </w:rPr>
        <w:t xml:space="preserve"> deste Edita</w:t>
      </w:r>
      <w:r>
        <w:rPr>
          <w:rFonts w:hint="default" w:ascii="Book Antiqua" w:hAnsi="Book Antiqua" w:cs="Book Antiqua"/>
          <w:sz w:val="22"/>
          <w:szCs w:val="22"/>
        </w:rPr>
        <w:t>l</w:t>
      </w:r>
    </w:p>
    <w:p>
      <w:pPr>
        <w:pStyle w:val="83"/>
        <w:keepNext w:val="0"/>
        <w:keepLines w:val="0"/>
        <w:pageBreakBefore w:val="0"/>
        <w:kinsoku/>
        <w:wordWrap/>
        <w:overflowPunct/>
        <w:topLinePunct w:val="0"/>
        <w:autoSpaceDE/>
        <w:autoSpaceDN/>
        <w:bidi w:val="0"/>
        <w:adjustRightInd/>
        <w:snapToGrid/>
        <w:spacing w:after="120"/>
        <w:ind w:left="0" w:leftChars="0" w:firstLine="0" w:firstLineChars="0"/>
        <w:contextualSpacing w:val="0"/>
        <w:jc w:val="both"/>
        <w:textAlignment w:val="auto"/>
        <w:rPr>
          <w:rFonts w:hint="default" w:ascii="Book Antiqua" w:hAnsi="Book Antiqua" w:eastAsia="SimSun" w:cs="Book Antiqua"/>
          <w:i w:val="0"/>
          <w:iCs w:val="0"/>
          <w:caps w:val="0"/>
          <w:color w:val="000000"/>
          <w:spacing w:val="0"/>
          <w:sz w:val="22"/>
          <w:szCs w:val="22"/>
          <w:shd w:val="clear" w:fill="FFFFFF"/>
        </w:rPr>
      </w:pPr>
      <w:r>
        <w:rPr>
          <w:rFonts w:hint="default" w:ascii="Book Antiqua" w:hAnsi="Book Antiqua"/>
          <w:b/>
          <w:bCs/>
          <w:sz w:val="22"/>
          <w:szCs w:val="22"/>
          <w:u w:val="none"/>
          <w:lang w:val="pt-BR"/>
        </w:rPr>
        <w:t>d)</w:t>
      </w:r>
      <w:r>
        <w:rPr>
          <w:rFonts w:hint="default" w:ascii="Book Antiqua" w:hAnsi="Book Antiqua"/>
          <w:sz w:val="22"/>
          <w:szCs w:val="22"/>
          <w:u w:val="none"/>
          <w:lang w:val="pt-BR"/>
        </w:rPr>
        <w:t xml:space="preserve">  </w:t>
      </w:r>
      <w:r>
        <w:rPr>
          <w:rFonts w:hint="default" w:ascii="Book Antiqua" w:hAnsi="Book Antiqua" w:eastAsia="SimSun" w:cs="Book Antiqua"/>
          <w:b/>
          <w:bCs/>
          <w:i w:val="0"/>
          <w:iCs w:val="0"/>
          <w:caps w:val="0"/>
          <w:color w:val="000000"/>
          <w:spacing w:val="0"/>
          <w:sz w:val="22"/>
          <w:szCs w:val="22"/>
          <w:shd w:val="clear" w:fill="FFFFFF"/>
        </w:rPr>
        <w:t>Declaração da licitante</w:t>
      </w:r>
      <w:r>
        <w:rPr>
          <w:rFonts w:hint="default" w:ascii="Book Antiqua" w:hAnsi="Book Antiqua" w:eastAsia="SimSun" w:cs="Book Antiqua"/>
          <w:i w:val="0"/>
          <w:iCs w:val="0"/>
          <w:caps w:val="0"/>
          <w:color w:val="000000"/>
          <w:spacing w:val="0"/>
          <w:sz w:val="22"/>
          <w:szCs w:val="22"/>
          <w:shd w:val="clear" w:fill="FFFFFF"/>
        </w:rPr>
        <w:t xml:space="preserve"> que tomou conhecimento de todas as informações e condições para o cumprimento das obrigações do objeto da licitação. A não apresentação desta declaração será entendida pela comissão como concordância com teor do Termo de Referência e deste edital.</w:t>
      </w:r>
    </w:p>
    <w:p>
      <w:pPr>
        <w:pStyle w:val="83"/>
        <w:keepNext w:val="0"/>
        <w:keepLines w:val="0"/>
        <w:pageBreakBefore w:val="0"/>
        <w:kinsoku/>
        <w:wordWrap/>
        <w:overflowPunct/>
        <w:topLinePunct w:val="0"/>
        <w:autoSpaceDE/>
        <w:autoSpaceDN/>
        <w:bidi w:val="0"/>
        <w:adjustRightInd/>
        <w:snapToGrid/>
        <w:spacing w:after="120"/>
        <w:ind w:left="1100" w:leftChars="500" w:firstLine="0" w:firstLineChars="0"/>
        <w:contextualSpacing w:val="0"/>
        <w:jc w:val="both"/>
        <w:textAlignment w:val="auto"/>
        <w:rPr>
          <w:rFonts w:ascii="Book Antiqua" w:hAnsi="Book Antiqua"/>
          <w:sz w:val="22"/>
          <w:szCs w:val="22"/>
          <w:u w:val="single"/>
        </w:rPr>
      </w:pPr>
      <w:r>
        <w:rPr>
          <w:rFonts w:hint="default" w:ascii="Book Antiqua" w:hAnsi="Book Antiqua"/>
          <w:b/>
          <w:bCs/>
          <w:sz w:val="22"/>
          <w:szCs w:val="22"/>
          <w:u w:val="single"/>
          <w:lang w:val="pt-BR"/>
        </w:rPr>
        <w:t>16.13.1.1.</w:t>
      </w:r>
      <w:r>
        <w:rPr>
          <w:rFonts w:hint="default" w:ascii="Book Antiqua" w:hAnsi="Book Antiqua"/>
          <w:sz w:val="22"/>
          <w:szCs w:val="22"/>
          <w:u w:val="single"/>
          <w:lang w:val="pt-BR"/>
        </w:rPr>
        <w:t xml:space="preserve"> </w:t>
      </w:r>
      <w:r>
        <w:rPr>
          <w:rFonts w:ascii="Book Antiqua" w:hAnsi="Book Antiqua"/>
          <w:sz w:val="22"/>
          <w:szCs w:val="22"/>
          <w:u w:val="single"/>
        </w:rPr>
        <w:t>A falta da</w:t>
      </w:r>
      <w:r>
        <w:rPr>
          <w:rFonts w:hint="default" w:ascii="Book Antiqua" w:hAnsi="Book Antiqua"/>
          <w:sz w:val="22"/>
          <w:szCs w:val="22"/>
          <w:u w:val="single"/>
          <w:lang w:val="pt-BR"/>
        </w:rPr>
        <w:t>s</w:t>
      </w:r>
      <w:r>
        <w:rPr>
          <w:rFonts w:ascii="Book Antiqua" w:hAnsi="Book Antiqua"/>
          <w:sz w:val="22"/>
          <w:szCs w:val="22"/>
          <w:u w:val="single"/>
        </w:rPr>
        <w:t xml:space="preserve"> declaraç</w:t>
      </w:r>
      <w:r>
        <w:rPr>
          <w:rFonts w:hint="default" w:ascii="Book Antiqua" w:hAnsi="Book Antiqua"/>
          <w:sz w:val="22"/>
          <w:szCs w:val="22"/>
          <w:u w:val="single"/>
          <w:lang w:val="pt-BR"/>
        </w:rPr>
        <w:t>ões</w:t>
      </w:r>
      <w:r>
        <w:rPr>
          <w:rFonts w:ascii="Book Antiqua" w:hAnsi="Book Antiqua"/>
          <w:sz w:val="22"/>
          <w:szCs w:val="22"/>
          <w:u w:val="single"/>
        </w:rPr>
        <w:t xml:space="preserve"> exigida</w:t>
      </w:r>
      <w:r>
        <w:rPr>
          <w:rFonts w:hint="default" w:ascii="Book Antiqua" w:hAnsi="Book Antiqua"/>
          <w:sz w:val="22"/>
          <w:szCs w:val="22"/>
          <w:u w:val="single"/>
          <w:lang w:val="pt-BR"/>
        </w:rPr>
        <w:t>s</w:t>
      </w:r>
      <w:r>
        <w:rPr>
          <w:rFonts w:ascii="Book Antiqua" w:hAnsi="Book Antiqua"/>
          <w:sz w:val="22"/>
          <w:szCs w:val="22"/>
          <w:u w:val="single"/>
        </w:rPr>
        <w:t xml:space="preserve"> nos subitens acima, não motiva a inabilitação da empresa, contudo, não exime a empresa vencedora quanto à obrigatoriedade do cumprimento integral ao que estabelece à legislação aplicável a matéria, podendo o Pregoeiro solicitar, de forma complementar, o envio das referidas declarações.</w:t>
      </w:r>
    </w:p>
    <w:p>
      <w:pPr>
        <w:pStyle w:val="83"/>
        <w:widowControl w:val="0"/>
        <w:tabs>
          <w:tab w:val="left" w:pos="851"/>
        </w:tabs>
        <w:spacing w:after="120"/>
        <w:ind w:left="0"/>
        <w:contextualSpacing w:val="0"/>
        <w:jc w:val="both"/>
        <w:rPr>
          <w:rFonts w:ascii="Book Antiqua" w:hAnsi="Book Antiqua"/>
          <w:b/>
          <w:bCs/>
          <w:color w:val="FF0000"/>
          <w:sz w:val="22"/>
          <w:szCs w:val="22"/>
          <w:highlight w:val="yellow"/>
        </w:rPr>
      </w:pPr>
      <w:r>
        <w:rPr>
          <w:rFonts w:ascii="Book Antiqua" w:hAnsi="Book Antiqua"/>
          <w:b/>
          <w:bCs/>
          <w:color w:val="FF0000"/>
          <w:sz w:val="22"/>
          <w:szCs w:val="22"/>
          <w:highlight w:val="yellow"/>
        </w:rPr>
        <w:t xml:space="preserve">16.13.2. A </w:t>
      </w:r>
      <w:r>
        <w:rPr>
          <w:rFonts w:ascii="Book Antiqua" w:hAnsi="Book Antiqua"/>
          <w:b/>
          <w:bCs/>
          <w:color w:val="FF0000"/>
          <w:sz w:val="22"/>
          <w:szCs w:val="22"/>
          <w:highlight w:val="yellow"/>
          <w:u w:val="single"/>
        </w:rPr>
        <w:t>documentação referente a HABILITAÇÃO</w:t>
      </w:r>
      <w:r>
        <w:rPr>
          <w:rFonts w:ascii="Book Antiqua" w:hAnsi="Book Antiqua"/>
          <w:b/>
          <w:bCs/>
          <w:color w:val="FF0000"/>
          <w:sz w:val="22"/>
          <w:szCs w:val="22"/>
          <w:highlight w:val="yellow"/>
        </w:rPr>
        <w:t xml:space="preserve"> deverá ser inserida no sistema, no momento do cadastro da proposta.</w:t>
      </w:r>
    </w:p>
    <w:p>
      <w:pPr>
        <w:pStyle w:val="83"/>
        <w:widowControl w:val="0"/>
        <w:tabs>
          <w:tab w:val="left" w:pos="851"/>
        </w:tabs>
        <w:spacing w:after="120"/>
        <w:ind w:left="0"/>
        <w:contextualSpacing w:val="0"/>
        <w:jc w:val="both"/>
        <w:rPr>
          <w:rFonts w:ascii="Book Antiqua" w:hAnsi="Book Antiqua"/>
          <w:sz w:val="22"/>
          <w:szCs w:val="22"/>
        </w:rPr>
      </w:pPr>
      <w:r>
        <w:rPr>
          <w:rFonts w:ascii="Book Antiqua" w:hAnsi="Book Antiqua"/>
          <w:b/>
          <w:bCs/>
          <w:color w:val="000000" w:themeColor="text1"/>
          <w:sz w:val="22"/>
          <w:szCs w:val="22"/>
        </w:rPr>
        <w:t xml:space="preserve">16.13.3. </w:t>
      </w:r>
      <w:r>
        <w:rPr>
          <w:rFonts w:ascii="Book Antiqua" w:hAnsi="Book Antiqua"/>
          <w:sz w:val="22"/>
          <w:szCs w:val="22"/>
        </w:rPr>
        <w:t xml:space="preserve">A DOCUMENTAÇÃO DE HABILITAÇÃO ANEXADA NO SISTEMA COMPRASNET TERÁ EFEITO PARA </w:t>
      </w:r>
      <w:r>
        <w:rPr>
          <w:rFonts w:ascii="Book Antiqua" w:hAnsi="Book Antiqua"/>
          <w:sz w:val="22"/>
          <w:szCs w:val="22"/>
          <w:u w:val="single"/>
        </w:rPr>
        <w:t>TODOS OS ITENS</w:t>
      </w:r>
      <w:r>
        <w:rPr>
          <w:rFonts w:ascii="Book Antiqua" w:hAnsi="Book Antiqua"/>
          <w:sz w:val="22"/>
          <w:szCs w:val="22"/>
        </w:rPr>
        <w:t>, OS QUAIS A EMPRESA ENCONTRA-SE PARTICIPANDO.</w:t>
      </w:r>
    </w:p>
    <w:p>
      <w:pPr>
        <w:pStyle w:val="83"/>
        <w:widowControl w:val="0"/>
        <w:spacing w:after="120"/>
        <w:ind w:left="0"/>
        <w:contextualSpacing w:val="0"/>
        <w:jc w:val="both"/>
        <w:rPr>
          <w:rFonts w:ascii="Book Antiqua" w:hAnsi="Book Antiqua"/>
          <w:sz w:val="22"/>
          <w:szCs w:val="22"/>
        </w:rPr>
      </w:pPr>
      <w:r>
        <w:rPr>
          <w:rFonts w:ascii="Book Antiqua" w:hAnsi="Book Antiqua"/>
          <w:b/>
          <w:bCs/>
          <w:color w:val="000000" w:themeColor="text1"/>
          <w:sz w:val="22"/>
          <w:szCs w:val="22"/>
        </w:rPr>
        <w:t>16.13.4.</w:t>
      </w:r>
      <w:r>
        <w:rPr>
          <w:rFonts w:ascii="Book Antiqua" w:hAnsi="Book Antiqua"/>
          <w:color w:val="000000" w:themeColor="text1"/>
          <w:sz w:val="22"/>
          <w:szCs w:val="22"/>
        </w:rPr>
        <w:t xml:space="preserve"> A DOCUMENTAÇÃO SOLICITADA, DEVERÁ SER ANEXADA CORRETAMENTE NO SISTEMA COMPRASNET, SENDO A MESMA COMPACTADA EM 01 (UM) ÚNICO ARQUIVO </w:t>
      </w:r>
      <w:r>
        <w:rPr>
          <w:rFonts w:ascii="Book Antiqua" w:hAnsi="Book Antiqua"/>
          <w:color w:val="000000" w:themeColor="text1"/>
          <w:sz w:val="22"/>
          <w:szCs w:val="22"/>
          <w:u w:val="single"/>
        </w:rPr>
        <w:t>(excel, word, .Zip, .doc, .docx, .JPG ou PDF</w:t>
      </w:r>
      <w:r>
        <w:rPr>
          <w:rFonts w:ascii="Book Antiqua" w:hAnsi="Book Antiqua"/>
          <w:color w:val="000000" w:themeColor="text1"/>
          <w:sz w:val="22"/>
          <w:szCs w:val="22"/>
        </w:rPr>
        <w:t>), TENDO EM VISTA QUE O CAMPO DE INSERÇÃO É ÚNICO.</w:t>
      </w:r>
    </w:p>
    <w:p>
      <w:pPr>
        <w:pStyle w:val="83"/>
        <w:widowControl w:val="0"/>
        <w:tabs>
          <w:tab w:val="left" w:pos="851"/>
        </w:tabs>
        <w:spacing w:after="120"/>
        <w:ind w:left="0"/>
        <w:contextualSpacing w:val="0"/>
        <w:jc w:val="both"/>
        <w:rPr>
          <w:rFonts w:ascii="Book Antiqua" w:hAnsi="Book Antiqua"/>
          <w:sz w:val="22"/>
          <w:szCs w:val="22"/>
        </w:rPr>
      </w:pPr>
      <w:r>
        <w:rPr>
          <w:rFonts w:ascii="Book Antiqua" w:hAnsi="Book Antiqua"/>
          <w:b/>
          <w:bCs/>
          <w:sz w:val="22"/>
          <w:szCs w:val="22"/>
        </w:rPr>
        <w:t xml:space="preserve">16.14.  </w:t>
      </w:r>
      <w:r>
        <w:rPr>
          <w:rFonts w:ascii="Book Antiqua" w:hAnsi="Book Antiqua"/>
          <w:sz w:val="22"/>
          <w:szCs w:val="22"/>
        </w:rPr>
        <w:t>A documentação de habilitação enviada implicará em plena aceitação, por parte da licitante, das condições estabelecidas neste Edital e seus Anexos, vinculando o seu autor ao cumprimento de todas as condições e obrigações inerentes ao certame;</w:t>
      </w:r>
    </w:p>
    <w:p>
      <w:pPr>
        <w:pStyle w:val="83"/>
        <w:tabs>
          <w:tab w:val="left" w:pos="851"/>
        </w:tabs>
        <w:spacing w:after="120"/>
        <w:ind w:left="0"/>
        <w:contextualSpacing w:val="0"/>
        <w:jc w:val="both"/>
        <w:rPr>
          <w:rFonts w:ascii="Book Antiqua" w:hAnsi="Book Antiqua"/>
          <w:color w:val="000000"/>
          <w:sz w:val="22"/>
          <w:szCs w:val="22"/>
        </w:rPr>
      </w:pPr>
      <w:r>
        <w:rPr>
          <w:rFonts w:ascii="Book Antiqua" w:hAnsi="Book Antiqua"/>
          <w:b/>
          <w:bCs/>
          <w:color w:val="000000"/>
          <w:sz w:val="22"/>
          <w:szCs w:val="22"/>
        </w:rPr>
        <w:t>16.15.</w:t>
      </w:r>
      <w:r>
        <w:rPr>
          <w:rFonts w:ascii="Book Antiqua" w:hAnsi="Book Antiqua"/>
          <w:color w:val="000000"/>
          <w:sz w:val="22"/>
          <w:szCs w:val="22"/>
        </w:rPr>
        <w:t xml:space="preserve"> Havendo necessidade de analisar minuciosamente os documentos exigidos, o Pregoeiro suspenderá a sessão, informando no “chat” a nova data e horário para a continuidade da mesma.</w:t>
      </w:r>
    </w:p>
    <w:p>
      <w:pPr>
        <w:pStyle w:val="83"/>
        <w:widowControl w:val="0"/>
        <w:tabs>
          <w:tab w:val="left" w:pos="851"/>
        </w:tabs>
        <w:spacing w:after="120"/>
        <w:ind w:left="0"/>
        <w:contextualSpacing w:val="0"/>
        <w:jc w:val="both"/>
        <w:rPr>
          <w:rFonts w:ascii="Book Antiqua" w:hAnsi="Book Antiqua"/>
          <w:sz w:val="22"/>
          <w:szCs w:val="22"/>
        </w:rPr>
      </w:pPr>
      <w:r>
        <w:rPr>
          <w:rFonts w:ascii="Book Antiqua" w:hAnsi="Book Antiqua"/>
          <w:b/>
          <w:bCs/>
          <w:color w:val="000000"/>
          <w:sz w:val="22"/>
          <w:szCs w:val="22"/>
        </w:rPr>
        <w:t>16.16.</w:t>
      </w:r>
      <w:r>
        <w:rPr>
          <w:rFonts w:ascii="Book Antiqua" w:hAnsi="Book Antiqua"/>
          <w:color w:val="000000"/>
          <w:sz w:val="22"/>
          <w:szCs w:val="22"/>
        </w:rPr>
        <w:t xml:space="preserve"> Para fins de habilitação, a verificação pelo pregoeiro nos sítios oficiais de órgão e entidades emissores de certidões constitui meio legal de prova;</w:t>
      </w:r>
    </w:p>
    <w:p>
      <w:pPr>
        <w:pStyle w:val="83"/>
        <w:tabs>
          <w:tab w:val="left" w:pos="851"/>
        </w:tabs>
        <w:spacing w:after="120"/>
        <w:ind w:left="0"/>
        <w:contextualSpacing w:val="0"/>
        <w:jc w:val="both"/>
        <w:rPr>
          <w:rFonts w:ascii="Book Antiqua" w:hAnsi="Book Antiqua"/>
          <w:color w:val="000000"/>
          <w:sz w:val="22"/>
          <w:szCs w:val="22"/>
        </w:rPr>
      </w:pPr>
      <w:r>
        <w:rPr>
          <w:rFonts w:ascii="Book Antiqua" w:hAnsi="Book Antiqua"/>
          <w:b/>
          <w:bCs/>
          <w:color w:val="000000"/>
          <w:sz w:val="22"/>
          <w:szCs w:val="22"/>
        </w:rPr>
        <w:t>16.17.</w:t>
      </w:r>
      <w:r>
        <w:rPr>
          <w:rFonts w:ascii="Book Antiqua" w:hAnsi="Book Antiqua"/>
          <w:color w:val="000000"/>
          <w:sz w:val="22"/>
          <w:szCs w:val="22"/>
        </w:rPr>
        <w:t xml:space="preserve">  Será inabilitado o licitante que não comprovar sua habilitação, seja por não apresentar quaisquer dos documentos exigidos, ou apresentá-los em desacordo com o e</w:t>
      </w:r>
      <w:r>
        <w:rPr>
          <w:rFonts w:ascii="Book Antiqua" w:hAnsi="Book Antiqua"/>
          <w:color w:val="000000"/>
          <w:sz w:val="22"/>
          <w:szCs w:val="22"/>
          <w:lang w:eastAsia="en-US"/>
        </w:rPr>
        <w:t>stabelecido neste Edital.</w:t>
      </w:r>
    </w:p>
    <w:p>
      <w:pPr>
        <w:pStyle w:val="83"/>
        <w:widowControl w:val="0"/>
        <w:tabs>
          <w:tab w:val="left" w:pos="851"/>
        </w:tabs>
        <w:spacing w:after="120"/>
        <w:ind w:left="0"/>
        <w:contextualSpacing w:val="0"/>
        <w:jc w:val="both"/>
        <w:rPr>
          <w:rFonts w:ascii="Book Antiqua" w:hAnsi="Book Antiqua"/>
          <w:sz w:val="22"/>
          <w:szCs w:val="22"/>
        </w:rPr>
      </w:pPr>
      <w:r>
        <w:rPr>
          <w:rFonts w:ascii="Book Antiqua" w:hAnsi="Book Antiqua"/>
          <w:b/>
          <w:bCs/>
          <w:color w:val="000000" w:themeColor="text1"/>
          <w:sz w:val="22"/>
          <w:szCs w:val="22"/>
        </w:rPr>
        <w:t xml:space="preserve">16.18. </w:t>
      </w:r>
      <w:r>
        <w:rPr>
          <w:rFonts w:ascii="Book Antiqua" w:hAnsi="Book Antiqua"/>
          <w:color w:val="000000" w:themeColor="text1"/>
          <w:sz w:val="22"/>
          <w:szCs w:val="22"/>
        </w:rPr>
        <w:t>Sendo a empresa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83"/>
        <w:tabs>
          <w:tab w:val="left" w:pos="851"/>
        </w:tabs>
        <w:spacing w:after="120"/>
        <w:ind w:left="660" w:leftChars="300"/>
        <w:contextualSpacing w:val="0"/>
        <w:jc w:val="both"/>
        <w:rPr>
          <w:rFonts w:ascii="Book Antiqua" w:hAnsi="Book Antiqua"/>
          <w:color w:val="000000" w:themeColor="text1"/>
          <w:sz w:val="22"/>
          <w:szCs w:val="22"/>
        </w:rPr>
      </w:pPr>
      <w:r>
        <w:rPr>
          <w:rFonts w:ascii="Book Antiqua" w:hAnsi="Book Antiqua"/>
          <w:b/>
          <w:bCs/>
          <w:color w:val="000000" w:themeColor="text1"/>
          <w:sz w:val="22"/>
          <w:szCs w:val="22"/>
        </w:rPr>
        <w:t>16.18.1.</w:t>
      </w:r>
      <w:r>
        <w:rPr>
          <w:rFonts w:ascii="Book Antiqua" w:hAnsi="Book Antiqua"/>
          <w:color w:val="000000" w:themeColor="text1"/>
          <w:sz w:val="22"/>
          <w:szCs w:val="22"/>
        </w:rPr>
        <w:t xml:space="preserve">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pPr>
        <w:pStyle w:val="83"/>
        <w:widowControl w:val="0"/>
        <w:tabs>
          <w:tab w:val="left" w:pos="851"/>
        </w:tabs>
        <w:spacing w:after="120"/>
        <w:ind w:left="0"/>
        <w:contextualSpacing w:val="0"/>
        <w:jc w:val="both"/>
        <w:rPr>
          <w:rFonts w:ascii="Book Antiqua" w:hAnsi="Book Antiqua"/>
          <w:sz w:val="22"/>
          <w:szCs w:val="22"/>
          <w:highlight w:val="lightGray"/>
        </w:rPr>
      </w:pPr>
      <w:r>
        <w:rPr>
          <w:rFonts w:ascii="Book Antiqua" w:hAnsi="Book Antiqua"/>
          <w:b/>
          <w:color w:val="000000" w:themeColor="text1"/>
          <w:sz w:val="22"/>
          <w:szCs w:val="22"/>
          <w:highlight w:val="lightGray"/>
        </w:rPr>
        <w:t>16.19.  Sob pena de inabili</w:t>
      </w:r>
      <w:r>
        <w:rPr>
          <w:rFonts w:ascii="Book Antiqua" w:hAnsi="Book Antiqua"/>
          <w:b/>
          <w:sz w:val="22"/>
          <w:szCs w:val="22"/>
          <w:highlight w:val="lightGray"/>
        </w:rPr>
        <w:t>tação, os documentos apresentados deverão estar:</w:t>
      </w:r>
    </w:p>
    <w:p>
      <w:pPr>
        <w:pStyle w:val="83"/>
        <w:widowControl w:val="0"/>
        <w:tabs>
          <w:tab w:val="left" w:pos="851"/>
        </w:tabs>
        <w:spacing w:after="80"/>
        <w:ind w:left="0"/>
        <w:contextualSpacing w:val="0"/>
        <w:jc w:val="both"/>
        <w:rPr>
          <w:rFonts w:ascii="Book Antiqua" w:hAnsi="Book Antiqua"/>
          <w:sz w:val="22"/>
          <w:szCs w:val="22"/>
        </w:rPr>
      </w:pPr>
      <w:r>
        <w:rPr>
          <w:rFonts w:ascii="Book Antiqua" w:hAnsi="Book Antiqua"/>
          <w:b/>
          <w:bCs/>
          <w:sz w:val="22"/>
          <w:szCs w:val="22"/>
        </w:rPr>
        <w:t>16.19.1.</w:t>
      </w:r>
      <w:r>
        <w:rPr>
          <w:rFonts w:ascii="Book Antiqua" w:hAnsi="Book Antiqua"/>
          <w:sz w:val="22"/>
          <w:szCs w:val="22"/>
        </w:rPr>
        <w:t xml:space="preserve">  Em nome da licitante com o n° do CNPJ e o endereço respectivo, conforme segue:</w:t>
      </w:r>
    </w:p>
    <w:p>
      <w:pPr>
        <w:widowControl w:val="0"/>
        <w:numPr>
          <w:ilvl w:val="0"/>
          <w:numId w:val="13"/>
        </w:numPr>
        <w:tabs>
          <w:tab w:val="left" w:pos="709"/>
          <w:tab w:val="left" w:pos="851"/>
          <w:tab w:val="clear" w:pos="1428"/>
        </w:tabs>
        <w:spacing w:after="80"/>
        <w:ind w:left="567" w:firstLine="0"/>
        <w:jc w:val="both"/>
        <w:rPr>
          <w:rFonts w:ascii="Book Antiqua" w:hAnsi="Book Antiqua"/>
          <w:i/>
        </w:rPr>
      </w:pPr>
      <w:r>
        <w:rPr>
          <w:rFonts w:ascii="Book Antiqua" w:hAnsi="Book Antiqua"/>
          <w:i/>
        </w:rPr>
        <w:t>Se a licitante for à matriz, todos os documentos deverão estar em nome da matriz e;</w:t>
      </w:r>
    </w:p>
    <w:p>
      <w:pPr>
        <w:widowControl w:val="0"/>
        <w:numPr>
          <w:ilvl w:val="0"/>
          <w:numId w:val="13"/>
        </w:numPr>
        <w:tabs>
          <w:tab w:val="left" w:pos="709"/>
          <w:tab w:val="left" w:pos="851"/>
          <w:tab w:val="clear" w:pos="1428"/>
        </w:tabs>
        <w:spacing w:after="80"/>
        <w:ind w:left="567" w:firstLine="0"/>
        <w:jc w:val="both"/>
        <w:rPr>
          <w:rFonts w:ascii="Book Antiqua" w:hAnsi="Book Antiqua"/>
          <w:i/>
        </w:rPr>
      </w:pPr>
      <w:r>
        <w:rPr>
          <w:rFonts w:ascii="Book Antiqua" w:hAnsi="Book Antiqua"/>
          <w:i/>
        </w:rPr>
        <w:t>Se a licitante for à filial, todos os documentos deverão estar em nome da filial;</w:t>
      </w:r>
    </w:p>
    <w:p>
      <w:pPr>
        <w:pStyle w:val="83"/>
        <w:widowControl w:val="0"/>
        <w:tabs>
          <w:tab w:val="left" w:pos="851"/>
        </w:tabs>
        <w:spacing w:after="80"/>
        <w:ind w:left="0"/>
        <w:contextualSpacing w:val="0"/>
        <w:jc w:val="both"/>
        <w:rPr>
          <w:rFonts w:ascii="Book Antiqua" w:hAnsi="Book Antiqua"/>
          <w:sz w:val="22"/>
          <w:szCs w:val="22"/>
        </w:rPr>
      </w:pPr>
      <w:r>
        <w:rPr>
          <w:rFonts w:ascii="Book Antiqua" w:hAnsi="Book Antiqua"/>
          <w:b/>
          <w:bCs/>
          <w:sz w:val="22"/>
          <w:szCs w:val="22"/>
        </w:rPr>
        <w:t>16.19.2.</w:t>
      </w:r>
      <w:r>
        <w:rPr>
          <w:rFonts w:ascii="Book Antiqua" w:hAnsi="Book Antiqua"/>
          <w:sz w:val="22"/>
          <w:szCs w:val="22"/>
        </w:rPr>
        <w:t xml:space="preserve"> No caso das alíneas anteriores, serão dispensados da filial aqueles documentos que, comprovadamente, forem emitidos somente em nome da matriz e vice-versa.</w:t>
      </w:r>
    </w:p>
    <w:p>
      <w:pPr>
        <w:pStyle w:val="83"/>
        <w:widowControl w:val="0"/>
        <w:tabs>
          <w:tab w:val="left" w:pos="851"/>
        </w:tabs>
        <w:spacing w:after="80"/>
        <w:ind w:left="0"/>
        <w:contextualSpacing w:val="0"/>
        <w:jc w:val="both"/>
        <w:rPr>
          <w:rFonts w:ascii="Book Antiqua" w:hAnsi="Book Antiqua"/>
          <w:sz w:val="22"/>
          <w:szCs w:val="22"/>
        </w:rPr>
      </w:pPr>
      <w:r>
        <w:rPr>
          <w:rFonts w:ascii="Book Antiqua" w:hAnsi="Book Antiqua"/>
          <w:b/>
          <w:bCs/>
          <w:sz w:val="22"/>
          <w:szCs w:val="22"/>
        </w:rPr>
        <w:t>16.19.3.</w:t>
      </w:r>
      <w:r>
        <w:rPr>
          <w:rFonts w:ascii="Book Antiqua" w:hAnsi="Book Antiqua"/>
          <w:sz w:val="22"/>
          <w:szCs w:val="22"/>
        </w:rPr>
        <w:t xml:space="preserve"> Se o licitante for a matriz, mas a prestadora do objeto deste edital ou a emissora da fatura/nota fiscal for filial, os documentos deverão ser apresentados em nome de ambas, matriz e filial.</w:t>
      </w:r>
    </w:p>
    <w:p>
      <w:pPr>
        <w:pStyle w:val="83"/>
        <w:tabs>
          <w:tab w:val="left" w:pos="851"/>
        </w:tabs>
        <w:spacing w:after="80"/>
        <w:ind w:left="0"/>
        <w:contextualSpacing w:val="0"/>
        <w:jc w:val="both"/>
        <w:rPr>
          <w:rFonts w:ascii="Book Antiqua" w:hAnsi="Book Antiqua"/>
          <w:color w:val="000000"/>
          <w:sz w:val="22"/>
          <w:szCs w:val="22"/>
        </w:rPr>
      </w:pPr>
      <w:r>
        <w:rPr>
          <w:rFonts w:ascii="Book Antiqua" w:hAnsi="Book Antiqua"/>
          <w:b/>
          <w:bCs/>
          <w:color w:val="000000"/>
          <w:sz w:val="22"/>
          <w:szCs w:val="22"/>
        </w:rPr>
        <w:t>16.20.</w:t>
      </w:r>
      <w:r>
        <w:rPr>
          <w:rFonts w:ascii="Book Antiqua" w:hAnsi="Book Antiqua"/>
          <w:color w:val="000000"/>
          <w:sz w:val="22"/>
          <w:szCs w:val="22"/>
        </w:rPr>
        <w:t xml:space="preserve"> Constatado o atendimento às exigências de habilitação fixadas no Edital, o licitante será declarado vencedor.</w:t>
      </w:r>
    </w:p>
    <w:p>
      <w:pPr>
        <w:pStyle w:val="83"/>
        <w:widowControl w:val="0"/>
        <w:tabs>
          <w:tab w:val="left" w:pos="851"/>
        </w:tabs>
        <w:spacing w:after="80"/>
        <w:ind w:left="0"/>
        <w:contextualSpacing w:val="0"/>
        <w:jc w:val="both"/>
        <w:rPr>
          <w:rFonts w:ascii="Book Antiqua" w:hAnsi="Book Antiqua"/>
          <w:sz w:val="22"/>
          <w:szCs w:val="22"/>
        </w:rPr>
      </w:pPr>
      <w:r>
        <w:rPr>
          <w:rFonts w:ascii="Book Antiqua" w:hAnsi="Book Antiqua"/>
          <w:b/>
          <w:bCs/>
          <w:sz w:val="22"/>
          <w:szCs w:val="22"/>
        </w:rPr>
        <w:t>16.21.</w:t>
      </w:r>
      <w:r>
        <w:rPr>
          <w:rFonts w:ascii="Book Antiqua" w:hAnsi="Book Antiqua"/>
          <w:sz w:val="22"/>
          <w:szCs w:val="22"/>
        </w:rPr>
        <w:t xml:space="preserve"> Somente haverá a necessidade de comprovação do preenchimento de requisitos mediante apresentação dos documentos originais não-digitais quando houver dúvida em relação à integridade do documento digital.</w:t>
      </w:r>
    </w:p>
    <w:p>
      <w:pPr>
        <w:pStyle w:val="83"/>
        <w:widowControl w:val="0"/>
        <w:tabs>
          <w:tab w:val="left" w:pos="851"/>
        </w:tabs>
        <w:spacing w:after="80"/>
        <w:ind w:left="0"/>
        <w:contextualSpacing w:val="0"/>
        <w:jc w:val="both"/>
        <w:rPr>
          <w:rFonts w:ascii="Book Antiqua" w:hAnsi="Book Antiqua"/>
          <w:sz w:val="22"/>
          <w:szCs w:val="22"/>
        </w:rPr>
      </w:pPr>
    </w:p>
    <w:p>
      <w:pPr>
        <w:pStyle w:val="83"/>
        <w:widowControl w:val="0"/>
        <w:tabs>
          <w:tab w:val="left" w:pos="851"/>
        </w:tabs>
        <w:spacing w:after="80"/>
        <w:ind w:left="0"/>
        <w:contextualSpacing w:val="0"/>
        <w:jc w:val="both"/>
        <w:rPr>
          <w:rFonts w:ascii="Book Antiqua" w:hAnsi="Book Antiqua"/>
          <w:sz w:val="22"/>
          <w:szCs w:val="22"/>
        </w:rPr>
      </w:pPr>
      <w:r>
        <w:rPr>
          <w:rFonts w:ascii="Book Antiqua" w:hAnsi="Book Antiqua" w:cs="Book Antiqua"/>
          <w:b/>
          <w:bCs/>
          <w:sz w:val="22"/>
          <w:szCs w:val="22"/>
          <w:highlight w:val="yellow"/>
        </w:rPr>
        <w:t>16.22.</w:t>
      </w:r>
      <w:r>
        <w:rPr>
          <w:rFonts w:ascii="Book Antiqua" w:hAnsi="Book Antiqua" w:cs="Book Antiqua"/>
          <w:sz w:val="22"/>
          <w:szCs w:val="22"/>
          <w:highlight w:val="yellow"/>
        </w:rPr>
        <w:t xml:space="preserve"> Se a documentação de habilitação não for aceitável (não estiver completa, correta ou contrariar qualquer dispositivo do Edital), o Pregoeiro e sua Equipe de Apoio, considerará o proponente inabilitado, desde que não se refiram a </w:t>
      </w:r>
      <w:r>
        <w:rPr>
          <w:rFonts w:ascii="Book Antiqua" w:hAnsi="Book Antiqua" w:cs="Book Antiqua"/>
          <w:sz w:val="22"/>
          <w:szCs w:val="22"/>
          <w:highlight w:val="yellow"/>
          <w:u w:val="single"/>
        </w:rPr>
        <w:t>certidões que possam ser verificadas eletronicamente</w:t>
      </w:r>
      <w:r>
        <w:rPr>
          <w:rFonts w:ascii="Book Antiqua" w:hAnsi="Book Antiqua" w:cs="Book Antiqua"/>
          <w:sz w:val="22"/>
          <w:szCs w:val="22"/>
          <w:highlight w:val="yellow"/>
        </w:rPr>
        <w:t>, havendo possibilidade, resguardada a isonomia, e desde que se apresentem na validade no momento da consulta.</w:t>
      </w:r>
    </w:p>
    <w:p>
      <w:pPr>
        <w:pStyle w:val="83"/>
        <w:widowControl w:val="0"/>
        <w:tabs>
          <w:tab w:val="left" w:pos="709"/>
        </w:tabs>
        <w:spacing w:after="80"/>
        <w:ind w:left="0"/>
        <w:contextualSpacing w:val="0"/>
        <w:jc w:val="both"/>
        <w:rPr>
          <w:rFonts w:ascii="Book Antiqua" w:hAnsi="Book Antiqua"/>
          <w:sz w:val="22"/>
          <w:szCs w:val="22"/>
        </w:rPr>
      </w:pPr>
      <w:r>
        <w:rPr>
          <w:rFonts w:ascii="Book Antiqua" w:hAnsi="Book Antiqua"/>
          <w:b/>
          <w:bCs/>
          <w:color w:val="000000" w:themeColor="text1"/>
          <w:sz w:val="22"/>
          <w:szCs w:val="22"/>
          <w:highlight w:val="yellow"/>
        </w:rPr>
        <w:t>16.23. (</w:t>
      </w:r>
      <w:r>
        <w:rPr>
          <w:rFonts w:ascii="Book Antiqua" w:hAnsi="Book Antiqua"/>
          <w:b/>
          <w:bCs/>
          <w:color w:val="000000" w:themeColor="text1"/>
          <w:sz w:val="22"/>
          <w:szCs w:val="22"/>
          <w:highlight w:val="yellow"/>
          <w:u w:val="single"/>
        </w:rPr>
        <w:t>SOMENTE SE SOLICITADO PELO PREGOEIRO</w:t>
      </w:r>
      <w:r>
        <w:rPr>
          <w:rFonts w:ascii="Book Antiqua" w:hAnsi="Book Antiqua"/>
          <w:b/>
          <w:bCs/>
          <w:color w:val="000000" w:themeColor="text1"/>
          <w:sz w:val="22"/>
          <w:szCs w:val="22"/>
          <w:highlight w:val="yellow"/>
        </w:rPr>
        <w:t>)</w:t>
      </w:r>
      <w:r>
        <w:rPr>
          <w:rFonts w:ascii="Book Antiqua" w:hAnsi="Book Antiqua"/>
          <w:color w:val="FF0000"/>
          <w:sz w:val="22"/>
          <w:szCs w:val="22"/>
        </w:rPr>
        <w:t xml:space="preserve"> </w:t>
      </w:r>
      <w:r>
        <w:rPr>
          <w:rFonts w:ascii="Book Antiqua" w:hAnsi="Book Antiqua"/>
          <w:sz w:val="22"/>
          <w:szCs w:val="22"/>
        </w:rPr>
        <w:t>Havendo necessidade de apresentação de documentos originais, os mesmos deverão ser encaminhados) à esta Prefeitura, no horário das 07h30min. às 13h30min. (horário local), de segunda-feira a sexta-feira, situada na Av. Tancredo Neves, n.º 2.166 – Setor Institucional - Complemento: Centro Adminsitrativo Dr. Carpintero, sala 19, no 2º andar em Ariquemes/RO - CEP: 76.872-854, Telefone: (69) 3516-2020.</w:t>
      </w:r>
    </w:p>
    <w:p>
      <w:pPr>
        <w:pStyle w:val="83"/>
        <w:keepNext w:val="0"/>
        <w:keepLines w:val="0"/>
        <w:pageBreakBefore w:val="0"/>
        <w:widowControl w:val="0"/>
        <w:numPr>
          <w:ilvl w:val="0"/>
          <w:numId w:val="9"/>
        </w:numPr>
        <w:pBdr>
          <w:top w:val="single" w:color="auto" w:sz="4" w:space="1"/>
          <w:left w:val="single" w:color="auto" w:sz="4" w:space="4"/>
          <w:bottom w:val="single" w:color="auto" w:sz="4" w:space="1"/>
          <w:right w:val="single" w:color="auto" w:sz="4" w:space="4"/>
        </w:pBdr>
        <w:shd w:val="clear" w:color="auto" w:fill="D8D8D8" w:themeFill="background1" w:themeFillShade="D9"/>
        <w:kinsoku/>
        <w:wordWrap/>
        <w:overflowPunct/>
        <w:topLinePunct w:val="0"/>
        <w:autoSpaceDE/>
        <w:autoSpaceDN/>
        <w:bidi w:val="0"/>
        <w:adjustRightInd/>
        <w:snapToGrid/>
        <w:spacing w:after="80"/>
        <w:ind w:left="0" w:firstLine="0"/>
        <w:contextualSpacing w:val="0"/>
        <w:jc w:val="both"/>
        <w:textAlignment w:val="auto"/>
        <w:rPr>
          <w:rFonts w:ascii="Book Antiqua" w:hAnsi="Book Antiqua"/>
          <w:b/>
          <w:color w:val="0000FF"/>
          <w:sz w:val="22"/>
          <w:szCs w:val="22"/>
        </w:rPr>
      </w:pPr>
      <w:r>
        <w:rPr>
          <w:rFonts w:ascii="Book Antiqua" w:hAnsi="Book Antiqua"/>
          <w:b/>
          <w:color w:val="0000FF"/>
          <w:sz w:val="22"/>
          <w:szCs w:val="22"/>
        </w:rPr>
        <w:t>DOS RECURSOS</w:t>
      </w:r>
    </w:p>
    <w:p>
      <w:pPr>
        <w:pStyle w:val="22"/>
        <w:keepNext w:val="0"/>
        <w:keepLines w:val="0"/>
        <w:pageBreakBefore w:val="0"/>
        <w:widowControl w:val="0"/>
        <w:numPr>
          <w:ilvl w:val="1"/>
          <w:numId w:val="9"/>
        </w:numPr>
        <w:tabs>
          <w:tab w:val="left" w:pos="0"/>
          <w:tab w:val="clear" w:pos="720"/>
        </w:tabs>
        <w:kinsoku/>
        <w:wordWrap/>
        <w:overflowPunct/>
        <w:topLinePunct w:val="0"/>
        <w:autoSpaceDE/>
        <w:autoSpaceDN/>
        <w:bidi w:val="0"/>
        <w:adjustRightInd/>
        <w:snapToGrid/>
        <w:spacing w:after="80"/>
        <w:ind w:left="0" w:firstLine="0"/>
        <w:textAlignment w:val="auto"/>
        <w:rPr>
          <w:rFonts w:ascii="Book Antiqua" w:hAnsi="Book Antiqua"/>
          <w:sz w:val="22"/>
        </w:rPr>
      </w:pPr>
      <w:r>
        <w:rPr>
          <w:rFonts w:ascii="Book Antiqua" w:hAnsi="Book Antiqua"/>
          <w:sz w:val="22"/>
        </w:rPr>
        <w:t>Após a fase de HABILITAÇÃO, declarada a empresa VENCEDORA do certame, qualquer Licitante poderá manifestar em campo próprio do Sistema Eletrônico, de forma imediata e motivada, explicitando sucintamente suas razões, sua intenção de recorrer.</w:t>
      </w:r>
    </w:p>
    <w:p>
      <w:pPr>
        <w:pStyle w:val="22"/>
        <w:keepNext w:val="0"/>
        <w:keepLines w:val="0"/>
        <w:pageBreakBefore w:val="0"/>
        <w:widowControl w:val="0"/>
        <w:numPr>
          <w:ilvl w:val="1"/>
          <w:numId w:val="9"/>
        </w:numPr>
        <w:tabs>
          <w:tab w:val="left" w:pos="0"/>
          <w:tab w:val="clear" w:pos="720"/>
        </w:tabs>
        <w:kinsoku/>
        <w:wordWrap/>
        <w:overflowPunct/>
        <w:topLinePunct w:val="0"/>
        <w:autoSpaceDE/>
        <w:autoSpaceDN/>
        <w:bidi w:val="0"/>
        <w:adjustRightInd/>
        <w:snapToGrid/>
        <w:spacing w:after="80"/>
        <w:ind w:left="0" w:firstLine="0"/>
        <w:textAlignment w:val="auto"/>
        <w:rPr>
          <w:rFonts w:ascii="Book Antiqua" w:hAnsi="Book Antiqua"/>
          <w:sz w:val="22"/>
        </w:rPr>
      </w:pPr>
      <w:r>
        <w:rPr>
          <w:rFonts w:ascii="Book Antiqua" w:hAnsi="Book Antiqua"/>
          <w:sz w:val="22"/>
        </w:rPr>
        <w:t>Será concedido à licitante que manifestar a intenção de interpor recurso o prazo de</w:t>
      </w:r>
      <w:r>
        <w:rPr>
          <w:rFonts w:ascii="Book Antiqua" w:hAnsi="Book Antiqua"/>
          <w:b/>
          <w:sz w:val="22"/>
        </w:rPr>
        <w:t xml:space="preserve"> 03 (três) dias para apresentar as razões recursais</w:t>
      </w:r>
      <w:r>
        <w:rPr>
          <w:rFonts w:ascii="Book Antiqua" w:hAnsi="Book Antiqua"/>
          <w:sz w:val="22"/>
        </w:rPr>
        <w:t xml:space="preserve">, ficando as demais licitantes, desde logo, intimados para, querendo, apresentarem contrarrazões em igual prazo, que começará a contar do término do prazo do recorrente, sendo-lhes assegurada vista imediata dos autos (redação conforme o inc. XVIII, art. 4°, Lei Federal n.º 10.520/2002). </w:t>
      </w:r>
    </w:p>
    <w:p>
      <w:pPr>
        <w:pStyle w:val="22"/>
        <w:keepNext w:val="0"/>
        <w:keepLines w:val="0"/>
        <w:pageBreakBefore w:val="0"/>
        <w:widowControl w:val="0"/>
        <w:numPr>
          <w:ilvl w:val="2"/>
          <w:numId w:val="9"/>
        </w:numPr>
        <w:tabs>
          <w:tab w:val="left" w:pos="0"/>
          <w:tab w:val="clear" w:pos="1288"/>
        </w:tabs>
        <w:kinsoku/>
        <w:wordWrap/>
        <w:overflowPunct/>
        <w:topLinePunct w:val="0"/>
        <w:autoSpaceDE/>
        <w:autoSpaceDN/>
        <w:bidi w:val="0"/>
        <w:adjustRightInd/>
        <w:snapToGrid/>
        <w:spacing w:after="80"/>
        <w:ind w:left="660" w:firstLine="0"/>
        <w:textAlignment w:val="auto"/>
        <w:rPr>
          <w:rFonts w:ascii="Book Antiqua" w:hAnsi="Book Antiqua"/>
          <w:sz w:val="22"/>
        </w:rPr>
      </w:pPr>
      <w:r>
        <w:rPr>
          <w:rFonts w:ascii="Book Antiqua" w:hAnsi="Book Antiqua"/>
          <w:sz w:val="22"/>
        </w:rPr>
        <w:t xml:space="preserve">A manifestação de interposição do recurso e contrarrazão, somente será possível por meio eletrônico </w:t>
      </w:r>
      <w:r>
        <w:rPr>
          <w:rFonts w:ascii="Book Antiqua" w:hAnsi="Book Antiqua"/>
          <w:b/>
          <w:sz w:val="22"/>
        </w:rPr>
        <w:t xml:space="preserve">(campo próprio do sistema Comprasnet), </w:t>
      </w:r>
      <w:r>
        <w:rPr>
          <w:rFonts w:ascii="Book Antiqua" w:hAnsi="Book Antiqua"/>
          <w:sz w:val="22"/>
        </w:rPr>
        <w:t>devendo o licitante observar as datas registradas.</w:t>
      </w:r>
    </w:p>
    <w:p>
      <w:pPr>
        <w:pStyle w:val="22"/>
        <w:keepNext w:val="0"/>
        <w:keepLines w:val="0"/>
        <w:pageBreakBefore w:val="0"/>
        <w:widowControl w:val="0"/>
        <w:numPr>
          <w:ilvl w:val="1"/>
          <w:numId w:val="9"/>
        </w:numPr>
        <w:tabs>
          <w:tab w:val="left" w:pos="0"/>
          <w:tab w:val="clear" w:pos="720"/>
        </w:tabs>
        <w:kinsoku/>
        <w:wordWrap/>
        <w:overflowPunct/>
        <w:topLinePunct w:val="0"/>
        <w:autoSpaceDE/>
        <w:autoSpaceDN/>
        <w:bidi w:val="0"/>
        <w:adjustRightInd/>
        <w:snapToGrid/>
        <w:spacing w:after="80"/>
        <w:ind w:left="0" w:firstLine="0"/>
        <w:textAlignment w:val="auto"/>
        <w:rPr>
          <w:rFonts w:ascii="Book Antiqua" w:hAnsi="Book Antiqua"/>
          <w:sz w:val="22"/>
        </w:rPr>
      </w:pPr>
      <w:r>
        <w:rPr>
          <w:rFonts w:ascii="Book Antiqua" w:hAnsi="Book Antiqua"/>
          <w:sz w:val="22"/>
        </w:rPr>
        <w:t>A falta de manifestação imediata e motivada da Licitante importará a decadência do direito de recurso e adjudicação do objeto pelo pregoeiro ao vencedor.</w:t>
      </w:r>
    </w:p>
    <w:p>
      <w:pPr>
        <w:pStyle w:val="22"/>
        <w:keepNext w:val="0"/>
        <w:keepLines w:val="0"/>
        <w:pageBreakBefore w:val="0"/>
        <w:widowControl w:val="0"/>
        <w:numPr>
          <w:ilvl w:val="1"/>
          <w:numId w:val="9"/>
        </w:numPr>
        <w:tabs>
          <w:tab w:val="left" w:pos="0"/>
          <w:tab w:val="clear" w:pos="720"/>
        </w:tabs>
        <w:kinsoku/>
        <w:wordWrap/>
        <w:overflowPunct/>
        <w:topLinePunct w:val="0"/>
        <w:autoSpaceDE/>
        <w:autoSpaceDN/>
        <w:bidi w:val="0"/>
        <w:adjustRightInd/>
        <w:snapToGrid/>
        <w:spacing w:after="80"/>
        <w:ind w:left="0" w:firstLine="0"/>
        <w:textAlignment w:val="auto"/>
        <w:rPr>
          <w:rFonts w:ascii="Book Antiqua" w:hAnsi="Book Antiqua"/>
          <w:sz w:val="22"/>
        </w:rPr>
      </w:pPr>
      <w:r>
        <w:rPr>
          <w:rFonts w:ascii="Book Antiqua" w:hAnsi="Book Antiqua"/>
          <w:sz w:val="22"/>
        </w:rPr>
        <w:t>O acolhimento do recurso importará na invalidação apenas dos atos insuscetíveis de aproveitamento.</w:t>
      </w:r>
    </w:p>
    <w:p>
      <w:pPr>
        <w:pStyle w:val="22"/>
        <w:keepNext w:val="0"/>
        <w:keepLines w:val="0"/>
        <w:pageBreakBefore w:val="0"/>
        <w:widowControl w:val="0"/>
        <w:numPr>
          <w:ilvl w:val="1"/>
          <w:numId w:val="9"/>
        </w:numPr>
        <w:tabs>
          <w:tab w:val="left" w:pos="0"/>
          <w:tab w:val="clear" w:pos="720"/>
        </w:tabs>
        <w:kinsoku/>
        <w:wordWrap/>
        <w:overflowPunct/>
        <w:topLinePunct w:val="0"/>
        <w:autoSpaceDE/>
        <w:autoSpaceDN/>
        <w:bidi w:val="0"/>
        <w:adjustRightInd/>
        <w:snapToGrid/>
        <w:spacing w:after="80"/>
        <w:ind w:left="0" w:firstLine="0"/>
        <w:textAlignment w:val="auto"/>
        <w:rPr>
          <w:rFonts w:ascii="Book Antiqua" w:hAnsi="Book Antiqua"/>
          <w:sz w:val="22"/>
        </w:rPr>
      </w:pPr>
      <w:r>
        <w:rPr>
          <w:rFonts w:ascii="Book Antiqua" w:hAnsi="Book Antiqua"/>
          <w:sz w:val="22"/>
        </w:rPr>
        <w:t>A decisão do pregoeiro a respeito da apreciação do recurso deverá ser motivada e submetida à apreciação da Autoridade Competente pela licitação, caso seja mantida a decisão anterior.</w:t>
      </w:r>
    </w:p>
    <w:p>
      <w:pPr>
        <w:pStyle w:val="22"/>
        <w:keepNext w:val="0"/>
        <w:keepLines w:val="0"/>
        <w:pageBreakBefore w:val="0"/>
        <w:widowControl w:val="0"/>
        <w:numPr>
          <w:ilvl w:val="1"/>
          <w:numId w:val="9"/>
        </w:numPr>
        <w:tabs>
          <w:tab w:val="left" w:pos="0"/>
          <w:tab w:val="clear" w:pos="720"/>
        </w:tabs>
        <w:kinsoku/>
        <w:wordWrap/>
        <w:overflowPunct/>
        <w:topLinePunct w:val="0"/>
        <w:autoSpaceDE/>
        <w:autoSpaceDN/>
        <w:bidi w:val="0"/>
        <w:adjustRightInd/>
        <w:snapToGrid/>
        <w:spacing w:after="80"/>
        <w:ind w:left="0" w:firstLine="0"/>
        <w:textAlignment w:val="auto"/>
        <w:rPr>
          <w:rFonts w:ascii="Book Antiqua" w:hAnsi="Book Antiqua" w:cs="Book Antiqua"/>
          <w:sz w:val="22"/>
        </w:rPr>
      </w:pPr>
      <w:r>
        <w:rPr>
          <w:rFonts w:ascii="Book Antiqua" w:hAnsi="Book Antiqua"/>
          <w:sz w:val="22"/>
        </w:rPr>
        <w:t>A decisão do pregoeiro e da Autoridade Competente será informada em campo próprio do Sistema Eletrônico, ficando todos os licitantes obrigados a acessá-lo para obtenção das informações prestadas pelo pregoeiro.</w:t>
      </w:r>
    </w:p>
    <w:p>
      <w:pPr>
        <w:pStyle w:val="22"/>
        <w:keepNext w:val="0"/>
        <w:keepLines w:val="0"/>
        <w:pageBreakBefore w:val="0"/>
        <w:widowControl w:val="0"/>
        <w:numPr>
          <w:ilvl w:val="1"/>
          <w:numId w:val="9"/>
        </w:numPr>
        <w:tabs>
          <w:tab w:val="left" w:pos="0"/>
          <w:tab w:val="clear" w:pos="720"/>
        </w:tabs>
        <w:kinsoku/>
        <w:wordWrap/>
        <w:overflowPunct/>
        <w:topLinePunct w:val="0"/>
        <w:autoSpaceDE/>
        <w:autoSpaceDN/>
        <w:bidi w:val="0"/>
        <w:adjustRightInd/>
        <w:snapToGrid/>
        <w:spacing w:after="80"/>
        <w:ind w:left="0" w:firstLine="0"/>
        <w:textAlignment w:val="auto"/>
        <w:rPr>
          <w:rFonts w:ascii="Book Antiqua" w:hAnsi="Book Antiqua" w:cs="Book Antiqua"/>
          <w:sz w:val="22"/>
        </w:rPr>
      </w:pPr>
      <w:r>
        <w:rPr>
          <w:rFonts w:ascii="Book Antiqua" w:hAnsi="Book Antiqua" w:cs="Book Antiqua"/>
          <w:sz w:val="22"/>
        </w:rPr>
        <w:t xml:space="preserve">Decididos os recursos e constatada a regularidade dos atos praticados, a </w:t>
      </w:r>
      <w:r>
        <w:rPr>
          <w:rFonts w:ascii="Book Antiqua" w:hAnsi="Book Antiqua" w:cs="Book Antiqua"/>
          <w:b/>
          <w:sz w:val="22"/>
        </w:rPr>
        <w:t>Autoridade Competente adjudicará o objeto e homologará</w:t>
      </w:r>
      <w:r>
        <w:rPr>
          <w:rFonts w:ascii="Book Antiqua" w:hAnsi="Book Antiqua" w:cs="Book Antiqua"/>
          <w:sz w:val="22"/>
        </w:rPr>
        <w:t xml:space="preserve"> o resultado da licitação para determinar a contratação.</w:t>
      </w:r>
    </w:p>
    <w:p>
      <w:pPr>
        <w:pStyle w:val="22"/>
        <w:keepNext w:val="0"/>
        <w:keepLines w:val="0"/>
        <w:pageBreakBefore w:val="0"/>
        <w:widowControl w:val="0"/>
        <w:numPr>
          <w:ilvl w:val="1"/>
          <w:numId w:val="9"/>
        </w:numPr>
        <w:tabs>
          <w:tab w:val="left" w:pos="0"/>
          <w:tab w:val="clear" w:pos="720"/>
        </w:tabs>
        <w:kinsoku/>
        <w:wordWrap/>
        <w:overflowPunct/>
        <w:topLinePunct w:val="0"/>
        <w:autoSpaceDE/>
        <w:autoSpaceDN/>
        <w:bidi w:val="0"/>
        <w:adjustRightInd/>
        <w:snapToGrid/>
        <w:spacing w:after="80"/>
        <w:ind w:left="0" w:firstLine="0"/>
        <w:textAlignment w:val="auto"/>
        <w:rPr>
          <w:rFonts w:ascii="Book Antiqua" w:hAnsi="Book Antiqua" w:cs="Book Antiqua"/>
          <w:sz w:val="22"/>
        </w:rPr>
      </w:pPr>
      <w:r>
        <w:rPr>
          <w:rFonts w:ascii="Book Antiqua" w:hAnsi="Book Antiqua" w:eastAsia="TimesNewRomanPSMT" w:cs="Book Antiqua"/>
          <w:color w:val="000000"/>
          <w:sz w:val="22"/>
          <w:lang w:val="en-US" w:eastAsia="zh-CN" w:bidi="ar"/>
        </w:rPr>
        <w:t xml:space="preserve">Durante o prazo recursal, os autos do processo permanecerão com vista franqueada aos interessados, na SUPERINTENDÊNCIA </w:t>
      </w:r>
      <w:r>
        <w:rPr>
          <w:rFonts w:ascii="Book Antiqua" w:hAnsi="Book Antiqua" w:eastAsia="TimesNewRomanPSMT" w:cs="Book Antiqua"/>
          <w:color w:val="000000"/>
          <w:sz w:val="22"/>
          <w:lang w:eastAsia="zh-CN" w:bidi="ar"/>
        </w:rPr>
        <w:t>MUNICIPAL DE COMPRAS E</w:t>
      </w:r>
      <w:r>
        <w:rPr>
          <w:rFonts w:ascii="Book Antiqua" w:hAnsi="Book Antiqua" w:eastAsia="TimesNewRomanPSMT" w:cs="Book Antiqua"/>
          <w:color w:val="000000"/>
          <w:sz w:val="22"/>
          <w:lang w:val="en-US" w:eastAsia="zh-CN" w:bidi="ar"/>
        </w:rPr>
        <w:t xml:space="preserve"> LICITAÇÕES – </w:t>
      </w:r>
      <w:r>
        <w:rPr>
          <w:rFonts w:ascii="Book Antiqua" w:hAnsi="Book Antiqua" w:eastAsia="TimesNewRomanPSMT" w:cs="Book Antiqua"/>
          <w:color w:val="000000"/>
          <w:sz w:val="22"/>
          <w:lang w:eastAsia="zh-CN" w:bidi="ar"/>
        </w:rPr>
        <w:t>SML, endereço constante neste Edital</w:t>
      </w:r>
      <w:r>
        <w:rPr>
          <w:rFonts w:ascii="Book Antiqua" w:hAnsi="Book Antiqua" w:eastAsia="TimesNewRomanPSMT" w:cs="Book Antiqua"/>
          <w:color w:val="000000"/>
          <w:sz w:val="22"/>
          <w:lang w:val="en-US" w:eastAsia="zh-CN" w:bidi="ar"/>
        </w:rPr>
        <w:t xml:space="preserve">, caso não esteja disponível no Sistema de Eletrônico </w:t>
      </w:r>
      <w:r>
        <w:rPr>
          <w:rFonts w:ascii="Book Antiqua" w:hAnsi="Book Antiqua" w:eastAsia="TimesNewRomanPSMT" w:cs="Book Antiqua"/>
          <w:color w:val="000000"/>
          <w:sz w:val="22"/>
          <w:lang w:eastAsia="zh-CN" w:bidi="ar"/>
        </w:rPr>
        <w:t>de Processos</w:t>
      </w:r>
      <w:r>
        <w:rPr>
          <w:rFonts w:ascii="Book Antiqua" w:hAnsi="Book Antiqua" w:eastAsia="TimesNewRomanPSMT" w:cs="Book Antiqua"/>
          <w:color w:val="000000"/>
          <w:sz w:val="22"/>
          <w:lang w:val="en-US" w:eastAsia="zh-CN" w:bidi="ar"/>
        </w:rPr>
        <w:t xml:space="preserve"> </w:t>
      </w:r>
      <w:r>
        <w:rPr>
          <w:rFonts w:ascii="Book Antiqua" w:hAnsi="Book Antiqua" w:eastAsia="TimesNewRomanPSMT" w:cs="Book Antiqua"/>
          <w:color w:val="000000"/>
          <w:sz w:val="22"/>
          <w:lang w:eastAsia="zh-CN" w:bidi="ar"/>
        </w:rPr>
        <w:t xml:space="preserve">      </w:t>
      </w:r>
      <w:r>
        <w:rPr>
          <w:rFonts w:ascii="Book Antiqua" w:hAnsi="Book Antiqua" w:eastAsia="TimesNewRomanPSMT" w:cs="Book Antiqua"/>
          <w:color w:val="000000"/>
          <w:sz w:val="22"/>
          <w:lang w:val="en-US" w:eastAsia="zh-CN" w:bidi="ar"/>
        </w:rPr>
        <w:t>(</w:t>
      </w:r>
      <w:r>
        <w:rPr>
          <w:rFonts w:ascii="Book Antiqua" w:hAnsi="Book Antiqua" w:eastAsia="TimesNewRomanPSMT" w:cs="Book Antiqua"/>
          <w:color w:val="000000"/>
          <w:sz w:val="22"/>
          <w:lang w:eastAsia="zh-CN" w:bidi="ar"/>
        </w:rPr>
        <w:t>e-Proc</w:t>
      </w:r>
      <w:r>
        <w:rPr>
          <w:rFonts w:ascii="Book Antiqua" w:hAnsi="Book Antiqua" w:eastAsia="TimesNewRomanPSMT" w:cs="Book Antiqua"/>
          <w:color w:val="000000"/>
          <w:sz w:val="22"/>
          <w:lang w:val="en-US" w:eastAsia="zh-CN" w:bidi="ar"/>
        </w:rPr>
        <w:t>).</w:t>
      </w:r>
    </w:p>
    <w:p>
      <w:pPr>
        <w:widowControl w:val="0"/>
        <w:numPr>
          <w:ilvl w:val="1"/>
          <w:numId w:val="9"/>
        </w:numPr>
        <w:pBdr>
          <w:top w:val="single" w:color="auto" w:sz="4" w:space="1"/>
          <w:left w:val="single" w:color="auto" w:sz="4" w:space="4"/>
          <w:bottom w:val="single" w:color="auto" w:sz="4" w:space="1"/>
          <w:right w:val="single" w:color="auto" w:sz="4" w:space="4"/>
          <w:between w:val="single" w:color="auto" w:sz="4" w:space="1"/>
        </w:pBdr>
        <w:shd w:val="clear" w:color="auto" w:fill="D8D8D8" w:themeFill="background1" w:themeFillShade="D9"/>
        <w:tabs>
          <w:tab w:val="left" w:pos="0"/>
          <w:tab w:val="clear" w:pos="720"/>
        </w:tabs>
        <w:spacing w:after="120"/>
        <w:ind w:left="0" w:firstLine="0"/>
        <w:jc w:val="both"/>
        <w:rPr>
          <w:rFonts w:ascii="Book Antiqua" w:hAnsi="Book Antiqua"/>
          <w:b/>
          <w:bCs/>
        </w:rPr>
      </w:pPr>
      <w:r>
        <w:rPr>
          <w:rFonts w:ascii="Book Antiqua" w:hAnsi="Book Antiqua"/>
          <w:b/>
          <w:sz w:val="24"/>
          <w:szCs w:val="24"/>
        </w:rPr>
        <w:t>Cabe ainda, recurso contra a decisão de:</w:t>
      </w:r>
    </w:p>
    <w:p>
      <w:pPr>
        <w:pStyle w:val="83"/>
        <w:keepNext w:val="0"/>
        <w:keepLines w:val="0"/>
        <w:pageBreakBefore w:val="0"/>
        <w:widowControl w:val="0"/>
        <w:numPr>
          <w:ilvl w:val="0"/>
          <w:numId w:val="14"/>
        </w:numPr>
        <w:tabs>
          <w:tab w:val="left" w:pos="0"/>
        </w:tabs>
        <w:kinsoku/>
        <w:wordWrap/>
        <w:overflowPunct/>
        <w:topLinePunct w:val="0"/>
        <w:autoSpaceDE/>
        <w:autoSpaceDN/>
        <w:bidi w:val="0"/>
        <w:adjustRightInd/>
        <w:snapToGrid/>
        <w:spacing w:after="160"/>
        <w:ind w:left="0" w:firstLine="0"/>
        <w:contextualSpacing w:val="0"/>
        <w:jc w:val="both"/>
        <w:textAlignment w:val="auto"/>
        <w:rPr>
          <w:rFonts w:ascii="Book Antiqua" w:hAnsi="Book Antiqua"/>
          <w:color w:val="000000"/>
          <w:sz w:val="22"/>
          <w:szCs w:val="22"/>
        </w:rPr>
      </w:pPr>
      <w:r>
        <w:rPr>
          <w:rFonts w:ascii="Book Antiqua" w:hAnsi="Book Antiqua"/>
          <w:color w:val="000000"/>
          <w:sz w:val="22"/>
          <w:szCs w:val="22"/>
        </w:rPr>
        <w:t>Anular ou revogar o Pregão Eletrônico;</w:t>
      </w:r>
    </w:p>
    <w:p>
      <w:pPr>
        <w:pStyle w:val="83"/>
        <w:keepNext w:val="0"/>
        <w:keepLines w:val="0"/>
        <w:pageBreakBefore w:val="0"/>
        <w:widowControl w:val="0"/>
        <w:numPr>
          <w:ilvl w:val="0"/>
          <w:numId w:val="14"/>
        </w:numPr>
        <w:tabs>
          <w:tab w:val="left" w:pos="0"/>
        </w:tabs>
        <w:kinsoku/>
        <w:wordWrap/>
        <w:overflowPunct/>
        <w:topLinePunct w:val="0"/>
        <w:autoSpaceDE/>
        <w:autoSpaceDN/>
        <w:bidi w:val="0"/>
        <w:adjustRightInd/>
        <w:snapToGrid/>
        <w:spacing w:after="160"/>
        <w:ind w:left="0" w:firstLine="0"/>
        <w:contextualSpacing w:val="0"/>
        <w:jc w:val="both"/>
        <w:textAlignment w:val="auto"/>
        <w:rPr>
          <w:rFonts w:ascii="Book Antiqua" w:hAnsi="Book Antiqua"/>
          <w:color w:val="000000"/>
          <w:sz w:val="22"/>
          <w:szCs w:val="22"/>
        </w:rPr>
      </w:pPr>
      <w:r>
        <w:rPr>
          <w:rFonts w:ascii="Book Antiqua" w:hAnsi="Book Antiqua"/>
          <w:color w:val="000000"/>
          <w:sz w:val="22"/>
          <w:szCs w:val="22"/>
        </w:rPr>
        <w:t xml:space="preserve">Determinar a aplicação das penalidades de advertência, multa, suspensão temporária do direito de licitar e contratar com a Prefeitura de Ariquemes/RO. </w:t>
      </w:r>
    </w:p>
    <w:p>
      <w:pPr>
        <w:keepNext w:val="0"/>
        <w:keepLines w:val="0"/>
        <w:pageBreakBefore w:val="0"/>
        <w:widowControl w:val="0"/>
        <w:numPr>
          <w:ilvl w:val="2"/>
          <w:numId w:val="9"/>
        </w:numPr>
        <w:tabs>
          <w:tab w:val="left" w:pos="0"/>
          <w:tab w:val="clear" w:pos="1288"/>
        </w:tabs>
        <w:kinsoku/>
        <w:wordWrap/>
        <w:overflowPunct/>
        <w:topLinePunct w:val="0"/>
        <w:autoSpaceDE/>
        <w:autoSpaceDN/>
        <w:bidi w:val="0"/>
        <w:adjustRightInd/>
        <w:snapToGrid/>
        <w:spacing w:after="160"/>
        <w:ind w:left="0" w:firstLine="0"/>
        <w:jc w:val="both"/>
        <w:textAlignment w:val="auto"/>
        <w:rPr>
          <w:rFonts w:ascii="Book Antiqua" w:hAnsi="Book Antiqua"/>
          <w:color w:val="000000"/>
        </w:rPr>
      </w:pPr>
      <w:r>
        <w:rPr>
          <w:rFonts w:ascii="Book Antiqua" w:hAnsi="Book Antiqua"/>
          <w:color w:val="000000"/>
        </w:rPr>
        <w:t>Os recursos acima deverão ser interpostos no prazo de 05 (cinco) dias úteis a contar da intimação do ato, e terão efeito suspensivo;</w:t>
      </w:r>
    </w:p>
    <w:p>
      <w:pPr>
        <w:keepNext w:val="0"/>
        <w:keepLines w:val="0"/>
        <w:pageBreakBefore w:val="0"/>
        <w:widowControl w:val="0"/>
        <w:numPr>
          <w:ilvl w:val="2"/>
          <w:numId w:val="9"/>
        </w:numPr>
        <w:tabs>
          <w:tab w:val="left" w:pos="0"/>
          <w:tab w:val="clear" w:pos="1288"/>
        </w:tabs>
        <w:kinsoku/>
        <w:wordWrap/>
        <w:overflowPunct/>
        <w:topLinePunct w:val="0"/>
        <w:autoSpaceDE/>
        <w:autoSpaceDN/>
        <w:bidi w:val="0"/>
        <w:adjustRightInd/>
        <w:snapToGrid/>
        <w:spacing w:after="31" w:afterLines="10"/>
        <w:ind w:left="0" w:firstLine="0"/>
        <w:jc w:val="both"/>
        <w:textAlignment w:val="auto"/>
        <w:rPr>
          <w:rFonts w:ascii="Book Antiqua" w:hAnsi="Book Antiqua"/>
          <w:color w:val="000000"/>
        </w:rPr>
      </w:pPr>
      <w:r>
        <w:rPr>
          <w:rFonts w:ascii="Book Antiqua" w:hAnsi="Book Antiqua"/>
          <w:color w:val="000000"/>
        </w:rPr>
        <w:t>A intimação dos atos referidos no subitem 16.9, alíneas “a” e “b”, será feita mediante publicação na imprensa oficial e comunicação direta às licitantes participantes do Pregão Eletrônico, que poderão impugná-los no prazo de 05 (cinco) dias úteis;</w:t>
      </w:r>
    </w:p>
    <w:p>
      <w:pPr>
        <w:keepNext w:val="0"/>
        <w:keepLines w:val="0"/>
        <w:pageBreakBefore w:val="0"/>
        <w:widowControl w:val="0"/>
        <w:numPr>
          <w:ilvl w:val="2"/>
          <w:numId w:val="9"/>
        </w:numPr>
        <w:tabs>
          <w:tab w:val="left" w:pos="0"/>
          <w:tab w:val="clear" w:pos="1288"/>
        </w:tabs>
        <w:kinsoku/>
        <w:wordWrap/>
        <w:overflowPunct/>
        <w:topLinePunct w:val="0"/>
        <w:autoSpaceDE/>
        <w:autoSpaceDN/>
        <w:bidi w:val="0"/>
        <w:adjustRightInd/>
        <w:snapToGrid/>
        <w:spacing w:after="31" w:afterLines="10"/>
        <w:ind w:left="0" w:firstLine="0"/>
        <w:jc w:val="both"/>
        <w:textAlignment w:val="auto"/>
        <w:rPr>
          <w:rFonts w:ascii="Book Antiqua" w:hAnsi="Book Antiqua"/>
        </w:rPr>
      </w:pPr>
      <w:r>
        <w:rPr>
          <w:rFonts w:ascii="Book Antiqua" w:hAnsi="Book Antiqua"/>
          <w:color w:val="000000"/>
        </w:rPr>
        <w:t>Os recursos interpostos fora do prazo não serão acolhidos;</w:t>
      </w:r>
    </w:p>
    <w:p>
      <w:pPr>
        <w:keepNext w:val="0"/>
        <w:keepLines w:val="0"/>
        <w:pageBreakBefore w:val="0"/>
        <w:widowControl w:val="0"/>
        <w:numPr>
          <w:ilvl w:val="2"/>
          <w:numId w:val="9"/>
        </w:numPr>
        <w:tabs>
          <w:tab w:val="left" w:pos="0"/>
          <w:tab w:val="clear" w:pos="1288"/>
        </w:tabs>
        <w:kinsoku/>
        <w:wordWrap/>
        <w:overflowPunct/>
        <w:topLinePunct w:val="0"/>
        <w:autoSpaceDE/>
        <w:autoSpaceDN/>
        <w:bidi w:val="0"/>
        <w:adjustRightInd/>
        <w:snapToGrid/>
        <w:spacing w:after="31" w:afterLines="10"/>
        <w:ind w:left="0" w:firstLine="0"/>
        <w:jc w:val="both"/>
        <w:textAlignment w:val="auto"/>
        <w:rPr>
          <w:rFonts w:ascii="Book Antiqua" w:hAnsi="Book Antiqua"/>
        </w:rPr>
      </w:pPr>
      <w:r>
        <w:rPr>
          <w:rFonts w:ascii="Book Antiqua" w:hAnsi="Book Antiqua"/>
          <w:color w:val="000000"/>
        </w:rPr>
        <w:t xml:space="preserve">O recurso será dirigido à autoridade superior, por intermédio da que praticou o ato recorrido, a qual poderá reconsiderar a sua decisão, no prazo de 05 (cinco) dias úteis, ou nesse mesmo prazo fazê-lo subir, devidamente informado, devendo, nesse caso, a decisão ser </w:t>
      </w:r>
      <w:r>
        <w:rPr>
          <w:rFonts w:ascii="Book Antiqua" w:hAnsi="Book Antiqua"/>
        </w:rPr>
        <w:t>proferida no prazo de 05 (cinco) dias úteis, contado do recebimento do recurso.</w:t>
      </w:r>
    </w:p>
    <w:p>
      <w:pPr>
        <w:pStyle w:val="83"/>
        <w:keepNext w:val="0"/>
        <w:keepLines w:val="0"/>
        <w:pageBreakBefore w:val="0"/>
        <w:widowControl w:val="0"/>
        <w:numPr>
          <w:ilvl w:val="0"/>
          <w:numId w:val="9"/>
        </w:numPr>
        <w:pBdr>
          <w:top w:val="single" w:color="auto" w:sz="4" w:space="1"/>
          <w:left w:val="single" w:color="auto" w:sz="4" w:space="4"/>
          <w:bottom w:val="single" w:color="auto" w:sz="4" w:space="1"/>
          <w:right w:val="single" w:color="auto" w:sz="4" w:space="4"/>
          <w:between w:val="single" w:color="auto" w:sz="4" w:space="1"/>
        </w:pBdr>
        <w:shd w:val="clear" w:color="auto" w:fill="D8D8D8" w:themeFill="background1" w:themeFillShade="D9"/>
        <w:kinsoku/>
        <w:wordWrap/>
        <w:overflowPunct/>
        <w:topLinePunct w:val="0"/>
        <w:autoSpaceDE/>
        <w:autoSpaceDN/>
        <w:bidi w:val="0"/>
        <w:adjustRightInd/>
        <w:snapToGrid/>
        <w:spacing w:after="31" w:afterLines="10"/>
        <w:ind w:left="0" w:firstLine="0"/>
        <w:contextualSpacing w:val="0"/>
        <w:jc w:val="both"/>
        <w:textAlignment w:val="auto"/>
        <w:rPr>
          <w:rFonts w:ascii="Book Antiqua" w:hAnsi="Book Antiqua"/>
          <w:b/>
          <w:color w:val="0000FF"/>
          <w:sz w:val="22"/>
          <w:szCs w:val="22"/>
        </w:rPr>
      </w:pPr>
      <w:r>
        <w:rPr>
          <w:rFonts w:ascii="Book Antiqua" w:hAnsi="Book Antiqua"/>
          <w:b/>
          <w:color w:val="0000FF"/>
          <w:sz w:val="22"/>
          <w:szCs w:val="22"/>
        </w:rPr>
        <w:t>DA ADJUDICAÇÃO E DA HOMOLOGAÇÃO</w:t>
      </w:r>
    </w:p>
    <w:p>
      <w:pPr>
        <w:keepNext w:val="0"/>
        <w:keepLines w:val="0"/>
        <w:pageBreakBefore w:val="0"/>
        <w:widowControl w:val="0"/>
        <w:numPr>
          <w:ilvl w:val="1"/>
          <w:numId w:val="9"/>
        </w:numPr>
        <w:tabs>
          <w:tab w:val="left" w:pos="0"/>
          <w:tab w:val="clear" w:pos="720"/>
        </w:tabs>
        <w:kinsoku/>
        <w:wordWrap/>
        <w:overflowPunct/>
        <w:topLinePunct w:val="0"/>
        <w:autoSpaceDE/>
        <w:autoSpaceDN/>
        <w:bidi w:val="0"/>
        <w:adjustRightInd/>
        <w:snapToGrid/>
        <w:spacing w:after="31" w:afterLines="10"/>
        <w:ind w:left="0" w:firstLine="0"/>
        <w:jc w:val="both"/>
        <w:textAlignment w:val="auto"/>
        <w:rPr>
          <w:rFonts w:ascii="Book Antiqua" w:hAnsi="Book Antiqua"/>
        </w:rPr>
      </w:pPr>
      <w:r>
        <w:rPr>
          <w:rFonts w:ascii="Book Antiqua" w:hAnsi="Book Antiqua"/>
        </w:rPr>
        <w:t>Atendidas as especificações do Edital, estando habilitada a Licitante e tendo sido aceito o menor preço apurado, o pregoeiro declarará a(s) empresa(s) vencedora(s) do(s) respectivo(s) ITENS ADJUDICANDO-O.</w:t>
      </w:r>
    </w:p>
    <w:p>
      <w:pPr>
        <w:keepNext w:val="0"/>
        <w:keepLines w:val="0"/>
        <w:pageBreakBefore w:val="0"/>
        <w:widowControl w:val="0"/>
        <w:numPr>
          <w:ilvl w:val="1"/>
          <w:numId w:val="9"/>
        </w:numPr>
        <w:tabs>
          <w:tab w:val="left" w:pos="0"/>
          <w:tab w:val="clear" w:pos="720"/>
        </w:tabs>
        <w:kinsoku/>
        <w:wordWrap/>
        <w:overflowPunct/>
        <w:topLinePunct w:val="0"/>
        <w:autoSpaceDE/>
        <w:autoSpaceDN/>
        <w:bidi w:val="0"/>
        <w:adjustRightInd/>
        <w:snapToGrid/>
        <w:spacing w:after="31" w:afterLines="10"/>
        <w:ind w:left="0" w:firstLine="0"/>
        <w:jc w:val="both"/>
        <w:textAlignment w:val="auto"/>
        <w:rPr>
          <w:rFonts w:ascii="Book Antiqua" w:hAnsi="Book Antiqua"/>
          <w:bCs/>
        </w:rPr>
      </w:pPr>
      <w:r>
        <w:rPr>
          <w:rFonts w:ascii="Book Antiqua" w:hAnsi="Book Antiqua"/>
        </w:rPr>
        <w:t xml:space="preserve"> indicação do lance vencedor, a classificação dos lances apresentados e demais informações relativas à sessão pública do Pregão Eletrônico constarão de ata divulgada no Sistema Eletrônico </w:t>
      </w:r>
      <w:r>
        <w:rPr>
          <w:rFonts w:ascii="Book Antiqua" w:hAnsi="Book Antiqua"/>
          <w:b/>
          <w:color w:val="0000FF"/>
          <w:u w:val="single"/>
        </w:rPr>
        <w:t>www.gov.br/compras</w:t>
      </w:r>
      <w:r>
        <w:rPr>
          <w:rFonts w:ascii="Book Antiqua" w:hAnsi="Book Antiqua"/>
        </w:rPr>
        <w:t xml:space="preserve">, sem prejuízo das demais formas de publicidade prevista na legislação pertinente. </w:t>
      </w:r>
    </w:p>
    <w:p>
      <w:pPr>
        <w:keepNext w:val="0"/>
        <w:keepLines w:val="0"/>
        <w:pageBreakBefore w:val="0"/>
        <w:widowControl w:val="0"/>
        <w:numPr>
          <w:ilvl w:val="1"/>
          <w:numId w:val="9"/>
        </w:numPr>
        <w:tabs>
          <w:tab w:val="left" w:pos="0"/>
          <w:tab w:val="clear" w:pos="720"/>
        </w:tabs>
        <w:kinsoku/>
        <w:wordWrap/>
        <w:overflowPunct/>
        <w:topLinePunct w:val="0"/>
        <w:autoSpaceDE/>
        <w:autoSpaceDN/>
        <w:bidi w:val="0"/>
        <w:adjustRightInd/>
        <w:snapToGrid/>
        <w:spacing w:after="31" w:afterLines="10"/>
        <w:ind w:left="0" w:firstLine="0"/>
        <w:jc w:val="both"/>
        <w:textAlignment w:val="auto"/>
        <w:rPr>
          <w:rFonts w:ascii="Book Antiqua" w:hAnsi="Book Antiqua"/>
          <w:bCs/>
        </w:rPr>
      </w:pPr>
      <w:r>
        <w:rPr>
          <w:rFonts w:ascii="Book Antiqua" w:hAnsi="Book Antiqua"/>
        </w:rPr>
        <w:t>A adjudicação do objeto do presente certame será viabilizada pelo pregoeiro sempre que não houver recurso. Havendo recurso, a adjudicação será efetuada pela Autoridade Competente que decidiu o recurso.</w:t>
      </w:r>
    </w:p>
    <w:p>
      <w:pPr>
        <w:keepNext w:val="0"/>
        <w:keepLines w:val="0"/>
        <w:pageBreakBefore w:val="0"/>
        <w:widowControl w:val="0"/>
        <w:numPr>
          <w:ilvl w:val="1"/>
          <w:numId w:val="9"/>
        </w:numPr>
        <w:tabs>
          <w:tab w:val="left" w:pos="0"/>
          <w:tab w:val="clear" w:pos="720"/>
        </w:tabs>
        <w:kinsoku/>
        <w:wordWrap/>
        <w:overflowPunct/>
        <w:topLinePunct w:val="0"/>
        <w:autoSpaceDE/>
        <w:autoSpaceDN/>
        <w:bidi w:val="0"/>
        <w:adjustRightInd/>
        <w:snapToGrid/>
        <w:spacing w:after="31" w:afterLines="10"/>
        <w:ind w:left="0" w:firstLine="0"/>
        <w:jc w:val="both"/>
        <w:textAlignment w:val="auto"/>
        <w:rPr>
          <w:rFonts w:ascii="Book Antiqua" w:hAnsi="Book Antiqua"/>
        </w:rPr>
      </w:pPr>
      <w:r>
        <w:rPr>
          <w:rFonts w:ascii="Book Antiqua" w:hAnsi="Book Antiqua"/>
        </w:rPr>
        <w:t>A homologação da licitação é de responsabilidade da Autoridade Competente e só poderá ser realizada depois da adjudicação.</w:t>
      </w:r>
    </w:p>
    <w:p>
      <w:pPr>
        <w:keepNext w:val="0"/>
        <w:keepLines w:val="0"/>
        <w:pageBreakBefore w:val="0"/>
        <w:widowControl w:val="0"/>
        <w:numPr>
          <w:ilvl w:val="1"/>
          <w:numId w:val="9"/>
        </w:numPr>
        <w:tabs>
          <w:tab w:val="left" w:pos="0"/>
          <w:tab w:val="clear" w:pos="720"/>
        </w:tabs>
        <w:kinsoku/>
        <w:wordWrap/>
        <w:overflowPunct/>
        <w:topLinePunct w:val="0"/>
        <w:autoSpaceDE/>
        <w:autoSpaceDN/>
        <w:bidi w:val="0"/>
        <w:adjustRightInd/>
        <w:snapToGrid/>
        <w:spacing w:after="31" w:afterLines="10"/>
        <w:ind w:left="0" w:firstLine="0"/>
        <w:jc w:val="both"/>
        <w:textAlignment w:val="auto"/>
        <w:rPr>
          <w:rFonts w:ascii="Book Antiqua" w:hAnsi="Book Antiqua"/>
        </w:rPr>
      </w:pPr>
      <w:r>
        <w:rPr>
          <w:rFonts w:ascii="Book Antiqua" w:hAnsi="Book Antiqua"/>
        </w:rPr>
        <w:t>Quando houver recurso e o pregoeiro mantiver sua decisão, essa deverá ser submetida à Autoridade Competente para decidir acerca dos atos do pregoeiro.</w:t>
      </w:r>
    </w:p>
    <w:p>
      <w:pPr>
        <w:pStyle w:val="83"/>
        <w:keepNext w:val="0"/>
        <w:keepLines w:val="0"/>
        <w:pageBreakBefore w:val="0"/>
        <w:widowControl w:val="0"/>
        <w:numPr>
          <w:ilvl w:val="0"/>
          <w:numId w:val="9"/>
        </w:numPr>
        <w:pBdr>
          <w:top w:val="single" w:color="auto" w:sz="4" w:space="1"/>
          <w:left w:val="single" w:color="auto" w:sz="4" w:space="4"/>
          <w:bottom w:val="single" w:color="auto" w:sz="4" w:space="1"/>
          <w:right w:val="single" w:color="auto" w:sz="4" w:space="4"/>
        </w:pBdr>
        <w:shd w:val="clear" w:color="auto" w:fill="D8D8D8" w:themeFill="background1" w:themeFillShade="D9"/>
        <w:tabs>
          <w:tab w:val="left" w:pos="284"/>
          <w:tab w:val="clear" w:pos="480"/>
        </w:tabs>
        <w:kinsoku/>
        <w:wordWrap/>
        <w:overflowPunct/>
        <w:topLinePunct w:val="0"/>
        <w:autoSpaceDE/>
        <w:autoSpaceDN/>
        <w:bidi w:val="0"/>
        <w:adjustRightInd/>
        <w:snapToGrid/>
        <w:spacing w:after="31" w:afterLines="10"/>
        <w:ind w:left="0" w:firstLine="0"/>
        <w:contextualSpacing w:val="0"/>
        <w:jc w:val="both"/>
        <w:textAlignment w:val="auto"/>
        <w:rPr>
          <w:rFonts w:ascii="Book Antiqua" w:hAnsi="Book Antiqua"/>
          <w:b/>
          <w:color w:val="0000FF"/>
          <w:sz w:val="22"/>
          <w:szCs w:val="22"/>
        </w:rPr>
      </w:pPr>
      <w:r>
        <w:rPr>
          <w:rFonts w:ascii="Book Antiqua" w:hAnsi="Book Antiqua"/>
          <w:b/>
          <w:color w:val="0000FF"/>
          <w:sz w:val="22"/>
          <w:szCs w:val="22"/>
        </w:rPr>
        <w:t xml:space="preserve">  DO PAGAMENTO</w:t>
      </w:r>
    </w:p>
    <w:p>
      <w:pPr>
        <w:pStyle w:val="83"/>
        <w:keepNext w:val="0"/>
        <w:keepLines w:val="0"/>
        <w:pageBreakBefore w:val="0"/>
        <w:widowControl w:val="0"/>
        <w:numPr>
          <w:ilvl w:val="1"/>
          <w:numId w:val="9"/>
        </w:numPr>
        <w:tabs>
          <w:tab w:val="left" w:pos="284"/>
          <w:tab w:val="clear" w:pos="720"/>
        </w:tabs>
        <w:kinsoku/>
        <w:wordWrap/>
        <w:overflowPunct/>
        <w:topLinePunct w:val="0"/>
        <w:autoSpaceDE/>
        <w:autoSpaceDN/>
        <w:bidi w:val="0"/>
        <w:adjustRightInd/>
        <w:snapToGrid/>
        <w:spacing w:after="31" w:afterLines="10"/>
        <w:ind w:left="0" w:firstLine="0"/>
        <w:contextualSpacing w:val="0"/>
        <w:jc w:val="both"/>
        <w:textAlignment w:val="auto"/>
        <w:rPr>
          <w:rFonts w:ascii="Book Antiqua" w:hAnsi="Book Antiqua"/>
          <w:b/>
          <w:sz w:val="22"/>
          <w:szCs w:val="22"/>
        </w:rPr>
      </w:pPr>
      <w:r>
        <w:rPr>
          <w:rFonts w:ascii="Book Antiqua" w:hAnsi="Book Antiqua"/>
          <w:sz w:val="22"/>
          <w:szCs w:val="22"/>
        </w:rPr>
        <w:t>O pagamento será feito após a apresentação da Nota Fiscal da empresa contratada, com periodicidade mensal, especificando os termos dos serviços realizados, os valores correspondentes, devendo as mesmas estar atestadas pela comissão de recebimento do especifica para esse fim.</w:t>
      </w:r>
    </w:p>
    <w:p>
      <w:pPr>
        <w:pStyle w:val="83"/>
        <w:keepNext w:val="0"/>
        <w:keepLines w:val="0"/>
        <w:pageBreakBefore w:val="0"/>
        <w:widowControl w:val="0"/>
        <w:numPr>
          <w:ilvl w:val="1"/>
          <w:numId w:val="9"/>
        </w:numPr>
        <w:tabs>
          <w:tab w:val="left" w:pos="284"/>
          <w:tab w:val="clear" w:pos="720"/>
        </w:tabs>
        <w:kinsoku/>
        <w:wordWrap/>
        <w:overflowPunct/>
        <w:topLinePunct w:val="0"/>
        <w:autoSpaceDE/>
        <w:autoSpaceDN/>
        <w:bidi w:val="0"/>
        <w:adjustRightInd/>
        <w:snapToGrid/>
        <w:spacing w:after="31" w:afterLines="10"/>
        <w:ind w:left="0" w:firstLine="0"/>
        <w:contextualSpacing w:val="0"/>
        <w:jc w:val="both"/>
        <w:textAlignment w:val="auto"/>
        <w:rPr>
          <w:rFonts w:ascii="Book Antiqua" w:hAnsi="Book Antiqua"/>
          <w:b/>
          <w:sz w:val="22"/>
          <w:szCs w:val="22"/>
        </w:rPr>
      </w:pPr>
      <w:r>
        <w:rPr>
          <w:rFonts w:ascii="Book Antiqua" w:hAnsi="Book Antiqua"/>
          <w:sz w:val="22"/>
          <w:szCs w:val="22"/>
        </w:rPr>
        <w:t xml:space="preserve">As demais condições de pagamentos são aqueles consignadas no </w:t>
      </w:r>
      <w:r>
        <w:rPr>
          <w:rFonts w:ascii="Book Antiqua" w:hAnsi="Book Antiqua"/>
          <w:b/>
          <w:bCs/>
          <w:sz w:val="22"/>
          <w:szCs w:val="22"/>
        </w:rPr>
        <w:t xml:space="preserve">item </w:t>
      </w:r>
      <w:r>
        <w:rPr>
          <w:rFonts w:hint="default" w:ascii="Book Antiqua" w:hAnsi="Book Antiqua"/>
          <w:b/>
          <w:bCs/>
          <w:sz w:val="22"/>
          <w:szCs w:val="22"/>
          <w:lang w:val="pt-BR"/>
        </w:rPr>
        <w:t>16</w:t>
      </w:r>
      <w:r>
        <w:rPr>
          <w:rFonts w:ascii="Book Antiqua" w:hAnsi="Book Antiqua"/>
          <w:b/>
          <w:bCs/>
          <w:sz w:val="22"/>
          <w:szCs w:val="22"/>
        </w:rPr>
        <w:t>. e subitens</w:t>
      </w:r>
      <w:r>
        <w:rPr>
          <w:rFonts w:ascii="Book Antiqua" w:hAnsi="Book Antiqua"/>
          <w:sz w:val="22"/>
          <w:szCs w:val="22"/>
        </w:rPr>
        <w:t xml:space="preserve"> do Termo de Referência.</w:t>
      </w:r>
    </w:p>
    <w:p>
      <w:pPr>
        <w:pStyle w:val="29"/>
        <w:widowControl w:val="0"/>
        <w:numPr>
          <w:ilvl w:val="0"/>
          <w:numId w:val="9"/>
        </w:numPr>
        <w:pBdr>
          <w:top w:val="single" w:color="auto" w:sz="4" w:space="1"/>
          <w:left w:val="single" w:color="auto" w:sz="4" w:space="4"/>
          <w:bottom w:val="single" w:color="auto" w:sz="4" w:space="1"/>
          <w:right w:val="single" w:color="auto" w:sz="4" w:space="4"/>
          <w:between w:val="single" w:color="auto" w:sz="4" w:space="1"/>
        </w:pBdr>
        <w:shd w:val="clear" w:color="auto" w:fill="D8D8D8" w:themeFill="background1" w:themeFillShade="D9"/>
        <w:spacing w:before="0" w:after="120"/>
        <w:ind w:left="0" w:firstLine="0"/>
        <w:jc w:val="both"/>
        <w:rPr>
          <w:rFonts w:ascii="Book Antiqua" w:hAnsi="Book Antiqua"/>
          <w:b/>
          <w:color w:val="0000FF"/>
          <w:sz w:val="22"/>
        </w:rPr>
      </w:pPr>
      <w:r>
        <w:rPr>
          <w:rFonts w:ascii="Book Antiqua" w:hAnsi="Book Antiqua"/>
          <w:b/>
          <w:color w:val="0000FF"/>
          <w:sz w:val="22"/>
        </w:rPr>
        <w:t>DA DOTAÇÃO ORÇAMENTÁRIA</w:t>
      </w:r>
    </w:p>
    <w:p>
      <w:pPr>
        <w:pStyle w:val="29"/>
        <w:keepNext w:val="0"/>
        <w:keepLines w:val="0"/>
        <w:widowControl/>
        <w:numPr>
          <w:ilvl w:val="1"/>
          <w:numId w:val="9"/>
        </w:numPr>
        <w:suppressLineNumbers w:val="0"/>
        <w:shd w:val="clear" w:fill="FFFFFF"/>
        <w:tabs>
          <w:tab w:val="left" w:pos="880"/>
          <w:tab w:val="clear" w:pos="720"/>
        </w:tabs>
        <w:bidi w:val="0"/>
        <w:spacing w:before="0" w:beforeAutospacing="0" w:after="0" w:afterAutospacing="0" w:line="15" w:lineRule="atLeast"/>
        <w:ind w:left="0" w:leftChars="0" w:right="0" w:firstLine="0" w:firstLineChars="0"/>
        <w:jc w:val="both"/>
        <w:rPr>
          <w:rFonts w:hint="default" w:ascii="Book Antiqua" w:hAnsi="Book Antiqua" w:cs="Book Antiqua"/>
          <w:i w:val="0"/>
          <w:iCs w:val="0"/>
          <w:caps w:val="0"/>
          <w:color w:val="000000"/>
          <w:spacing w:val="0"/>
          <w:sz w:val="22"/>
          <w:szCs w:val="22"/>
        </w:rPr>
      </w:pPr>
      <w:r>
        <w:rPr>
          <w:rFonts w:hint="default" w:ascii="Book Antiqua" w:hAnsi="Book Antiqua" w:cs="Book Antiqua"/>
          <w:i w:val="0"/>
          <w:iCs w:val="0"/>
          <w:caps w:val="0"/>
          <w:color w:val="000000"/>
          <w:spacing w:val="0"/>
          <w:sz w:val="22"/>
          <w:szCs w:val="22"/>
          <w:shd w:val="clear" w:fill="FFFFFF"/>
          <w:vertAlign w:val="baseline"/>
        </w:rPr>
        <w:t>Se a eventual e futura contratação ocorrer ainda neste exercício, às respectivas despesas decorrentes da contratação, objeto desta licitação, correrão à conta dos recursos específicos consignados no orçamento do Município de Ariquemes-RO, que tem como Projeto Atividade e Elemento de Despesa da Secretaria Municipal de Desenvolvimento Social, a seguir especificados:</w:t>
      </w:r>
    </w:p>
    <w:p>
      <w:pPr>
        <w:pStyle w:val="29"/>
        <w:keepNext w:val="0"/>
        <w:keepLines w:val="0"/>
        <w:widowControl/>
        <w:numPr>
          <w:ilvl w:val="1"/>
          <w:numId w:val="9"/>
        </w:numPr>
        <w:suppressLineNumbers w:val="0"/>
        <w:shd w:val="clear" w:fill="FFFFFF"/>
        <w:tabs>
          <w:tab w:val="left" w:pos="880"/>
          <w:tab w:val="clear" w:pos="720"/>
        </w:tabs>
        <w:bidi w:val="0"/>
        <w:spacing w:before="0" w:beforeAutospacing="0" w:after="0" w:afterAutospacing="0" w:line="15" w:lineRule="atLeast"/>
        <w:ind w:left="0" w:leftChars="0" w:right="0" w:firstLine="0" w:firstLineChars="0"/>
        <w:jc w:val="both"/>
        <w:rPr>
          <w:rFonts w:hint="default" w:ascii="Book Antiqua" w:hAnsi="Book Antiqua" w:cs="Book Antiqua"/>
          <w:i w:val="0"/>
          <w:iCs w:val="0"/>
          <w:caps w:val="0"/>
          <w:color w:val="000000"/>
          <w:spacing w:val="0"/>
          <w:sz w:val="22"/>
          <w:szCs w:val="22"/>
        </w:rPr>
      </w:pPr>
      <w:r>
        <w:rPr>
          <w:rFonts w:hint="default" w:ascii="Book Antiqua" w:hAnsi="Book Antiqua" w:cs="Book Antiqua"/>
          <w:i w:val="0"/>
          <w:iCs w:val="0"/>
          <w:caps w:val="0"/>
          <w:color w:val="000000"/>
          <w:spacing w:val="0"/>
          <w:sz w:val="22"/>
          <w:szCs w:val="22"/>
          <w:shd w:val="clear" w:fill="FFFFFF"/>
          <w:vertAlign w:val="baseline"/>
        </w:rPr>
        <w:t>Os recursos orçamentários destinados à cobertura das despesas decorrentes da aquisição, correrão por conta dos recursos, pela seguinte classificação orçamentária:</w:t>
      </w:r>
    </w:p>
    <w:p>
      <w:pPr>
        <w:pStyle w:val="29"/>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880" w:leftChars="400" w:right="0" w:firstLine="0" w:firstLineChars="0"/>
        <w:jc w:val="both"/>
        <w:textAlignment w:val="auto"/>
        <w:rPr>
          <w:rFonts w:hint="default" w:ascii="Book Antiqua" w:hAnsi="Book Antiqua" w:cs="Book Antiqua"/>
          <w:i w:val="0"/>
          <w:iCs w:val="0"/>
          <w:caps w:val="0"/>
          <w:color w:val="000000"/>
          <w:spacing w:val="0"/>
          <w:sz w:val="20"/>
          <w:szCs w:val="20"/>
        </w:rPr>
      </w:pPr>
      <w:r>
        <w:rPr>
          <w:rFonts w:hint="default" w:ascii="Book Antiqua" w:hAnsi="Book Antiqua" w:cs="Book Antiqua"/>
          <w:b/>
          <w:bCs/>
          <w:i w:val="0"/>
          <w:iCs w:val="0"/>
          <w:caps w:val="0"/>
          <w:color w:val="000000"/>
          <w:spacing w:val="0"/>
          <w:sz w:val="20"/>
          <w:szCs w:val="20"/>
          <w:shd w:val="clear" w:fill="FFFFFF"/>
          <w:vertAlign w:val="baseline"/>
        </w:rPr>
        <w:t>Órgão:</w:t>
      </w:r>
      <w:r>
        <w:rPr>
          <w:rFonts w:hint="default" w:ascii="Book Antiqua" w:hAnsi="Book Antiqua" w:cs="Book Antiqua"/>
          <w:i w:val="0"/>
          <w:iCs w:val="0"/>
          <w:caps w:val="0"/>
          <w:color w:val="000000"/>
          <w:spacing w:val="0"/>
          <w:sz w:val="20"/>
          <w:szCs w:val="20"/>
          <w:shd w:val="clear" w:fill="FFFFFF"/>
          <w:vertAlign w:val="baseline"/>
        </w:rPr>
        <w:t xml:space="preserve"> Prefeitura Municipal de Ariquemes;</w:t>
      </w:r>
    </w:p>
    <w:p>
      <w:pPr>
        <w:pStyle w:val="29"/>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880" w:leftChars="400" w:right="0" w:firstLine="0" w:firstLineChars="0"/>
        <w:jc w:val="both"/>
        <w:textAlignment w:val="auto"/>
        <w:rPr>
          <w:rFonts w:hint="default" w:ascii="Book Antiqua" w:hAnsi="Book Antiqua" w:cs="Book Antiqua"/>
          <w:i w:val="0"/>
          <w:iCs w:val="0"/>
          <w:caps w:val="0"/>
          <w:color w:val="000000"/>
          <w:spacing w:val="0"/>
          <w:sz w:val="20"/>
          <w:szCs w:val="20"/>
        </w:rPr>
      </w:pPr>
      <w:r>
        <w:rPr>
          <w:rFonts w:hint="default" w:ascii="Book Antiqua" w:hAnsi="Book Antiqua" w:cs="Book Antiqua"/>
          <w:b/>
          <w:bCs/>
          <w:i w:val="0"/>
          <w:iCs w:val="0"/>
          <w:caps w:val="0"/>
          <w:color w:val="000000"/>
          <w:spacing w:val="0"/>
          <w:sz w:val="20"/>
          <w:szCs w:val="20"/>
          <w:shd w:val="clear" w:fill="FFFFFF"/>
          <w:vertAlign w:val="baseline"/>
        </w:rPr>
        <w:t xml:space="preserve">Unidade Orçamentária: </w:t>
      </w:r>
      <w:r>
        <w:rPr>
          <w:rFonts w:hint="default" w:ascii="Book Antiqua" w:hAnsi="Book Antiqua" w:cs="Book Antiqua"/>
          <w:i w:val="0"/>
          <w:iCs w:val="0"/>
          <w:caps w:val="0"/>
          <w:color w:val="000000"/>
          <w:spacing w:val="0"/>
          <w:sz w:val="20"/>
          <w:szCs w:val="20"/>
          <w:shd w:val="clear" w:fill="FFFFFF"/>
          <w:vertAlign w:val="baseline"/>
        </w:rPr>
        <w:t>Fundo Municipal de Assistência Social-FMAS;</w:t>
      </w:r>
    </w:p>
    <w:p>
      <w:pPr>
        <w:pStyle w:val="29"/>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880" w:leftChars="400" w:right="0" w:firstLine="0" w:firstLineChars="0"/>
        <w:jc w:val="both"/>
        <w:textAlignment w:val="auto"/>
        <w:rPr>
          <w:rFonts w:hint="default" w:ascii="Book Antiqua" w:hAnsi="Book Antiqua" w:cs="Book Antiqua"/>
          <w:i w:val="0"/>
          <w:iCs w:val="0"/>
          <w:caps w:val="0"/>
          <w:color w:val="000000"/>
          <w:spacing w:val="0"/>
          <w:sz w:val="20"/>
          <w:szCs w:val="20"/>
        </w:rPr>
      </w:pPr>
      <w:r>
        <w:rPr>
          <w:rFonts w:hint="default" w:ascii="Book Antiqua" w:hAnsi="Book Antiqua" w:cs="Book Antiqua"/>
          <w:b/>
          <w:bCs/>
          <w:i w:val="0"/>
          <w:iCs w:val="0"/>
          <w:caps w:val="0"/>
          <w:color w:val="000000"/>
          <w:spacing w:val="0"/>
          <w:sz w:val="20"/>
          <w:szCs w:val="20"/>
          <w:shd w:val="clear" w:fill="FFFFFF"/>
          <w:vertAlign w:val="baseline"/>
        </w:rPr>
        <w:t>Programação:    </w:t>
      </w:r>
    </w:p>
    <w:p>
      <w:pPr>
        <w:pStyle w:val="29"/>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880" w:leftChars="400" w:right="0" w:firstLine="0" w:firstLineChars="0"/>
        <w:jc w:val="both"/>
        <w:textAlignment w:val="auto"/>
        <w:rPr>
          <w:rFonts w:hint="default" w:ascii="Book Antiqua" w:hAnsi="Book Antiqua" w:cs="Book Antiqua"/>
          <w:i w:val="0"/>
          <w:iCs w:val="0"/>
          <w:caps w:val="0"/>
          <w:color w:val="000000"/>
          <w:spacing w:val="0"/>
          <w:sz w:val="20"/>
          <w:szCs w:val="20"/>
        </w:rPr>
      </w:pPr>
      <w:r>
        <w:rPr>
          <w:rFonts w:hint="default" w:ascii="Book Antiqua" w:hAnsi="Book Antiqua" w:cs="Book Antiqua"/>
          <w:i w:val="0"/>
          <w:iCs w:val="0"/>
          <w:caps w:val="0"/>
          <w:color w:val="000000"/>
          <w:spacing w:val="0"/>
          <w:sz w:val="20"/>
          <w:szCs w:val="20"/>
          <w:shd w:val="clear" w:fill="FFFFFF"/>
          <w:vertAlign w:val="baseline"/>
        </w:rPr>
        <w:t>08.122.0001.2.400 - Manutenção das Atividades da SEMDES</w:t>
      </w:r>
    </w:p>
    <w:p>
      <w:pPr>
        <w:pStyle w:val="29"/>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880" w:leftChars="400" w:right="0" w:firstLine="0" w:firstLineChars="0"/>
        <w:jc w:val="both"/>
        <w:textAlignment w:val="auto"/>
        <w:rPr>
          <w:rFonts w:hint="default" w:ascii="Book Antiqua" w:hAnsi="Book Antiqua" w:cs="Book Antiqua"/>
          <w:i w:val="0"/>
          <w:iCs w:val="0"/>
          <w:caps w:val="0"/>
          <w:color w:val="000000"/>
          <w:spacing w:val="0"/>
          <w:sz w:val="20"/>
          <w:szCs w:val="20"/>
        </w:rPr>
      </w:pPr>
      <w:r>
        <w:rPr>
          <w:rFonts w:hint="default" w:ascii="Book Antiqua" w:hAnsi="Book Antiqua" w:cs="Book Antiqua"/>
          <w:i w:val="0"/>
          <w:iCs w:val="0"/>
          <w:caps w:val="0"/>
          <w:color w:val="000000"/>
          <w:spacing w:val="0"/>
          <w:sz w:val="20"/>
          <w:szCs w:val="20"/>
          <w:shd w:val="clear" w:fill="FFFFFF"/>
          <w:vertAlign w:val="baseline"/>
        </w:rPr>
        <w:t>08.243.0010.2.403 - Manutenção do Conselho Tutelar </w:t>
      </w:r>
    </w:p>
    <w:p>
      <w:pPr>
        <w:pStyle w:val="29"/>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880" w:leftChars="400" w:right="0" w:firstLine="0" w:firstLineChars="0"/>
        <w:jc w:val="both"/>
        <w:textAlignment w:val="auto"/>
        <w:rPr>
          <w:rFonts w:hint="default" w:ascii="Book Antiqua" w:hAnsi="Book Antiqua" w:cs="Book Antiqua"/>
          <w:i w:val="0"/>
          <w:iCs w:val="0"/>
          <w:caps w:val="0"/>
          <w:color w:val="000000"/>
          <w:spacing w:val="0"/>
          <w:sz w:val="20"/>
          <w:szCs w:val="20"/>
        </w:rPr>
      </w:pPr>
      <w:r>
        <w:rPr>
          <w:rFonts w:hint="default" w:ascii="Book Antiqua" w:hAnsi="Book Antiqua" w:cs="Book Antiqua"/>
          <w:i w:val="0"/>
          <w:iCs w:val="0"/>
          <w:caps w:val="0"/>
          <w:color w:val="000000"/>
          <w:spacing w:val="0"/>
          <w:sz w:val="20"/>
          <w:szCs w:val="20"/>
          <w:shd w:val="clear" w:fill="FFFFFF"/>
          <w:vertAlign w:val="baseline"/>
        </w:rPr>
        <w:t>08.244.0010.2.406 - Piso Básico Variável-SCFV</w:t>
      </w:r>
    </w:p>
    <w:p>
      <w:pPr>
        <w:pStyle w:val="29"/>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880" w:leftChars="400" w:right="0" w:firstLine="0" w:firstLineChars="0"/>
        <w:jc w:val="both"/>
        <w:textAlignment w:val="auto"/>
        <w:rPr>
          <w:rFonts w:hint="default" w:ascii="Book Antiqua" w:hAnsi="Book Antiqua" w:cs="Book Antiqua"/>
          <w:i w:val="0"/>
          <w:iCs w:val="0"/>
          <w:caps w:val="0"/>
          <w:color w:val="000000"/>
          <w:spacing w:val="0"/>
          <w:sz w:val="20"/>
          <w:szCs w:val="20"/>
        </w:rPr>
      </w:pPr>
      <w:r>
        <w:rPr>
          <w:rFonts w:hint="default" w:ascii="Book Antiqua" w:hAnsi="Book Antiqua" w:cs="Book Antiqua"/>
          <w:i w:val="0"/>
          <w:iCs w:val="0"/>
          <w:caps w:val="0"/>
          <w:color w:val="000000"/>
          <w:spacing w:val="0"/>
          <w:sz w:val="20"/>
          <w:szCs w:val="20"/>
          <w:shd w:val="clear" w:fill="FFFFFF"/>
          <w:vertAlign w:val="baseline"/>
        </w:rPr>
        <w:t>08.244.0010.2.410 - Assistência do CRAS/PAIF</w:t>
      </w:r>
    </w:p>
    <w:p>
      <w:pPr>
        <w:pStyle w:val="29"/>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880" w:leftChars="400" w:right="0" w:firstLine="0" w:firstLineChars="0"/>
        <w:jc w:val="both"/>
        <w:textAlignment w:val="auto"/>
        <w:rPr>
          <w:rFonts w:hint="default" w:ascii="Book Antiqua" w:hAnsi="Book Antiqua" w:cs="Book Antiqua"/>
          <w:i w:val="0"/>
          <w:iCs w:val="0"/>
          <w:caps w:val="0"/>
          <w:color w:val="000000"/>
          <w:spacing w:val="0"/>
          <w:sz w:val="20"/>
          <w:szCs w:val="20"/>
        </w:rPr>
      </w:pPr>
      <w:r>
        <w:rPr>
          <w:rFonts w:hint="default" w:ascii="Book Antiqua" w:hAnsi="Book Antiqua" w:cs="Book Antiqua"/>
          <w:i w:val="0"/>
          <w:iCs w:val="0"/>
          <w:caps w:val="0"/>
          <w:color w:val="000000"/>
          <w:spacing w:val="0"/>
          <w:sz w:val="20"/>
          <w:szCs w:val="20"/>
          <w:shd w:val="clear" w:fill="FFFFFF"/>
          <w:vertAlign w:val="baseline"/>
        </w:rPr>
        <w:t>08.243.0010.2.412 - Piso Fixo de Média Complexidade PAEFI/CREAS</w:t>
      </w:r>
    </w:p>
    <w:p>
      <w:pPr>
        <w:pStyle w:val="29"/>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880" w:leftChars="400" w:right="0" w:firstLine="0" w:firstLineChars="0"/>
        <w:jc w:val="both"/>
        <w:textAlignment w:val="auto"/>
        <w:rPr>
          <w:rFonts w:hint="default" w:ascii="Book Antiqua" w:hAnsi="Book Antiqua" w:cs="Book Antiqua"/>
          <w:i w:val="0"/>
          <w:iCs w:val="0"/>
          <w:caps w:val="0"/>
          <w:color w:val="000000"/>
          <w:spacing w:val="0"/>
          <w:sz w:val="20"/>
          <w:szCs w:val="20"/>
        </w:rPr>
      </w:pPr>
      <w:r>
        <w:rPr>
          <w:rFonts w:hint="default" w:ascii="Book Antiqua" w:hAnsi="Book Antiqua" w:cs="Book Antiqua"/>
          <w:i w:val="0"/>
          <w:iCs w:val="0"/>
          <w:caps w:val="0"/>
          <w:color w:val="000000"/>
          <w:spacing w:val="0"/>
          <w:sz w:val="20"/>
          <w:szCs w:val="20"/>
          <w:shd w:val="clear" w:fill="FFFFFF"/>
          <w:vertAlign w:val="baseline"/>
        </w:rPr>
        <w:t>08.244.0010.2.414 - Gestão Cadastro Único - Bolsa Família</w:t>
      </w:r>
    </w:p>
    <w:p>
      <w:pPr>
        <w:pStyle w:val="29"/>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880" w:leftChars="400" w:right="0" w:firstLine="0" w:firstLineChars="0"/>
        <w:jc w:val="both"/>
        <w:textAlignment w:val="auto"/>
        <w:rPr>
          <w:rFonts w:hint="default" w:ascii="Book Antiqua" w:hAnsi="Book Antiqua" w:cs="Book Antiqua"/>
          <w:i w:val="0"/>
          <w:iCs w:val="0"/>
          <w:caps w:val="0"/>
          <w:color w:val="000000"/>
          <w:spacing w:val="0"/>
          <w:sz w:val="20"/>
          <w:szCs w:val="20"/>
        </w:rPr>
      </w:pPr>
      <w:r>
        <w:rPr>
          <w:rFonts w:hint="default" w:ascii="Book Antiqua" w:hAnsi="Book Antiqua" w:cs="Book Antiqua"/>
          <w:b/>
          <w:bCs/>
          <w:i w:val="0"/>
          <w:iCs w:val="0"/>
          <w:caps w:val="0"/>
          <w:color w:val="000000"/>
          <w:spacing w:val="0"/>
          <w:sz w:val="20"/>
          <w:szCs w:val="20"/>
          <w:shd w:val="clear" w:fill="FFFFFF"/>
          <w:vertAlign w:val="baseline"/>
        </w:rPr>
        <w:t>Elemento de Despesa:</w:t>
      </w:r>
      <w:r>
        <w:rPr>
          <w:rFonts w:hint="default" w:ascii="Book Antiqua" w:hAnsi="Book Antiqua" w:cs="Book Antiqua"/>
          <w:i w:val="0"/>
          <w:iCs w:val="0"/>
          <w:caps w:val="0"/>
          <w:color w:val="000000"/>
          <w:spacing w:val="0"/>
          <w:sz w:val="20"/>
          <w:szCs w:val="20"/>
          <w:shd w:val="clear" w:fill="FFFFFF"/>
          <w:vertAlign w:val="baseline"/>
        </w:rPr>
        <w:t xml:space="preserve"> 33.90.39 - Outros Serviços de Terceiros - Pessoa Jurídica</w:t>
      </w:r>
    </w:p>
    <w:p>
      <w:pPr>
        <w:pStyle w:val="29"/>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240" w:lineRule="auto"/>
        <w:ind w:left="880" w:leftChars="400" w:right="0" w:firstLine="0" w:firstLineChars="0"/>
        <w:jc w:val="both"/>
        <w:textAlignment w:val="auto"/>
        <w:rPr>
          <w:rFonts w:hint="default" w:ascii="Book Antiqua" w:hAnsi="Book Antiqua" w:cs="Book Antiqua"/>
          <w:i w:val="0"/>
          <w:iCs w:val="0"/>
          <w:caps w:val="0"/>
          <w:color w:val="000000"/>
          <w:spacing w:val="0"/>
          <w:sz w:val="20"/>
          <w:szCs w:val="20"/>
        </w:rPr>
      </w:pPr>
      <w:r>
        <w:rPr>
          <w:rFonts w:hint="default" w:ascii="Book Antiqua" w:hAnsi="Book Antiqua" w:cs="Book Antiqua"/>
          <w:b/>
          <w:bCs/>
          <w:i w:val="0"/>
          <w:iCs w:val="0"/>
          <w:caps w:val="0"/>
          <w:color w:val="000000"/>
          <w:spacing w:val="0"/>
          <w:sz w:val="20"/>
          <w:szCs w:val="20"/>
          <w:shd w:val="clear" w:fill="FFFFFF"/>
          <w:vertAlign w:val="baseline"/>
        </w:rPr>
        <w:t>Fonte de Recurso:</w:t>
      </w:r>
      <w:r>
        <w:rPr>
          <w:rFonts w:hint="default" w:ascii="Book Antiqua" w:hAnsi="Book Antiqua" w:cs="Book Antiqua"/>
          <w:i w:val="0"/>
          <w:iCs w:val="0"/>
          <w:caps w:val="0"/>
          <w:color w:val="000000"/>
          <w:spacing w:val="0"/>
          <w:sz w:val="20"/>
          <w:szCs w:val="20"/>
          <w:shd w:val="clear" w:fill="FFFFFF"/>
          <w:vertAlign w:val="baseline"/>
        </w:rPr>
        <w:t xml:space="preserve"> Próprios, Transferência Fundo a Fundo (União), Transferência de Recursos Estaduais.</w:t>
      </w:r>
    </w:p>
    <w:p>
      <w:pPr>
        <w:jc w:val="both"/>
        <w:rPr>
          <w:rFonts w:ascii="Book Antiqua" w:hAnsi="Book Antiqua" w:cs="Book Antiqua"/>
          <w:lang w:val="en-US" w:eastAsia="zh-CN" w:bidi="ar"/>
        </w:rPr>
      </w:pPr>
    </w:p>
    <w:p>
      <w:pPr>
        <w:pStyle w:val="83"/>
        <w:widowControl w:val="0"/>
        <w:numPr>
          <w:ilvl w:val="0"/>
          <w:numId w:val="9"/>
        </w:numPr>
        <w:pBdr>
          <w:top w:val="single" w:color="auto" w:sz="4" w:space="1"/>
          <w:left w:val="single" w:color="auto" w:sz="4" w:space="4"/>
          <w:bottom w:val="single" w:color="auto" w:sz="4" w:space="1"/>
          <w:right w:val="single" w:color="auto" w:sz="4" w:space="4"/>
          <w:between w:val="single" w:color="auto" w:sz="4" w:space="1"/>
        </w:pBdr>
        <w:shd w:val="clear" w:color="auto" w:fill="D8D8D8" w:themeFill="background1" w:themeFillShade="D9"/>
        <w:spacing w:after="80"/>
        <w:ind w:left="0" w:firstLine="0"/>
        <w:contextualSpacing w:val="0"/>
        <w:jc w:val="both"/>
        <w:rPr>
          <w:rFonts w:ascii="Book Antiqua" w:hAnsi="Book Antiqua"/>
          <w:b/>
          <w:snapToGrid w:val="0"/>
          <w:color w:val="0000FF"/>
          <w:sz w:val="22"/>
          <w:szCs w:val="22"/>
        </w:rPr>
      </w:pPr>
      <w:r>
        <w:rPr>
          <w:rFonts w:ascii="Book Antiqua" w:hAnsi="Book Antiqua"/>
          <w:b/>
          <w:snapToGrid w:val="0"/>
          <w:color w:val="0000FF"/>
          <w:sz w:val="22"/>
          <w:szCs w:val="22"/>
        </w:rPr>
        <w:t>DA INALTERABILIDADE DO OBJETO</w:t>
      </w:r>
    </w:p>
    <w:p>
      <w:pPr>
        <w:pStyle w:val="83"/>
        <w:widowControl w:val="0"/>
        <w:numPr>
          <w:ilvl w:val="1"/>
          <w:numId w:val="9"/>
        </w:numPr>
        <w:tabs>
          <w:tab w:val="left" w:pos="440"/>
          <w:tab w:val="clear" w:pos="720"/>
        </w:tabs>
        <w:autoSpaceDE w:val="0"/>
        <w:autoSpaceDN w:val="0"/>
        <w:adjustRightInd w:val="0"/>
        <w:spacing w:after="80"/>
        <w:ind w:left="0" w:firstLine="0"/>
        <w:contextualSpacing w:val="0"/>
        <w:jc w:val="both"/>
        <w:rPr>
          <w:rFonts w:ascii="Book Antiqua" w:hAnsi="Book Antiqua"/>
          <w:sz w:val="22"/>
          <w:szCs w:val="22"/>
        </w:rPr>
      </w:pPr>
      <w:r>
        <w:rPr>
          <w:rFonts w:ascii="Book Antiqua" w:hAnsi="Book Antiqua"/>
          <w:sz w:val="22"/>
          <w:szCs w:val="22"/>
        </w:rPr>
        <w:t xml:space="preserve"> É vedado o recebimento de produtos ou serviços que possuam marca ou características diversas do edital e na proposta, bem como descaracterize de qualquer forma o objeto licitado, salvo por ocorrência de fato superveniente ou por motivo de força maior, devidamente justificado, e aceito pela Administração.</w:t>
      </w:r>
    </w:p>
    <w:p>
      <w:pPr>
        <w:pStyle w:val="83"/>
        <w:widowControl w:val="0"/>
        <w:numPr>
          <w:ilvl w:val="0"/>
          <w:numId w:val="9"/>
        </w:numPr>
        <w:pBdr>
          <w:top w:val="single" w:color="auto" w:sz="4" w:space="1"/>
          <w:left w:val="single" w:color="auto" w:sz="4" w:space="4"/>
          <w:bottom w:val="single" w:color="auto" w:sz="4" w:space="1"/>
          <w:right w:val="single" w:color="auto" w:sz="4" w:space="4"/>
          <w:between w:val="single" w:color="auto" w:sz="4" w:space="1"/>
        </w:pBdr>
        <w:shd w:val="clear" w:color="auto" w:fill="D8D8D8" w:themeFill="background1" w:themeFillShade="D9"/>
        <w:spacing w:after="120"/>
        <w:ind w:left="0" w:firstLine="0"/>
        <w:contextualSpacing w:val="0"/>
        <w:jc w:val="both"/>
        <w:rPr>
          <w:rFonts w:ascii="Book Antiqua" w:hAnsi="Book Antiqua"/>
          <w:b/>
          <w:snapToGrid w:val="0"/>
          <w:color w:val="0000FF"/>
          <w:sz w:val="22"/>
          <w:szCs w:val="22"/>
        </w:rPr>
      </w:pPr>
      <w:r>
        <w:rPr>
          <w:rFonts w:ascii="Book Antiqua" w:hAnsi="Book Antiqua"/>
          <w:b/>
          <w:snapToGrid w:val="0"/>
          <w:color w:val="0000FF"/>
          <w:sz w:val="22"/>
          <w:szCs w:val="22"/>
        </w:rPr>
        <w:t>DAS OBRIGAÇÕES E DIREITOS DO CONTRATANTE</w:t>
      </w:r>
    </w:p>
    <w:p>
      <w:pPr>
        <w:pStyle w:val="83"/>
        <w:numPr>
          <w:ilvl w:val="1"/>
          <w:numId w:val="9"/>
        </w:numPr>
        <w:spacing w:after="120"/>
        <w:jc w:val="both"/>
        <w:rPr>
          <w:rFonts w:ascii="Book Antiqua" w:hAnsi="Book Antiqua"/>
          <w:b/>
          <w:bCs/>
          <w:sz w:val="22"/>
          <w:szCs w:val="22"/>
          <w:u w:val="single"/>
        </w:rPr>
      </w:pPr>
      <w:r>
        <w:rPr>
          <w:rFonts w:ascii="Book Antiqua" w:hAnsi="Book Antiqua"/>
          <w:sz w:val="22"/>
          <w:szCs w:val="22"/>
        </w:rPr>
        <w:t xml:space="preserve">As obrigações da CONTRATANTE </w:t>
      </w:r>
      <w:r>
        <w:rPr>
          <w:rFonts w:ascii="Book Antiqua" w:hAnsi="Book Antiqua"/>
          <w:b/>
          <w:bCs/>
          <w:sz w:val="22"/>
          <w:szCs w:val="22"/>
          <w:u w:val="single"/>
        </w:rPr>
        <w:t xml:space="preserve">estão consignadas no item </w:t>
      </w:r>
      <w:r>
        <w:rPr>
          <w:rFonts w:hint="default" w:ascii="Book Antiqua" w:hAnsi="Book Antiqua"/>
          <w:b/>
          <w:bCs/>
          <w:sz w:val="22"/>
          <w:szCs w:val="22"/>
          <w:u w:val="single"/>
          <w:lang w:val="pt-BR"/>
        </w:rPr>
        <w:t>19</w:t>
      </w:r>
      <w:r>
        <w:rPr>
          <w:rFonts w:ascii="Book Antiqua" w:hAnsi="Book Antiqua"/>
          <w:b/>
          <w:bCs/>
          <w:sz w:val="22"/>
          <w:szCs w:val="22"/>
          <w:u w:val="single"/>
        </w:rPr>
        <w:t>. e subitens do Termo de Referência, anexo I deste Edital.</w:t>
      </w:r>
    </w:p>
    <w:p>
      <w:pPr>
        <w:pStyle w:val="83"/>
        <w:spacing w:after="120"/>
        <w:ind w:left="0"/>
        <w:jc w:val="both"/>
        <w:rPr>
          <w:rFonts w:ascii="Book Antiqua" w:hAnsi="Book Antiqua"/>
          <w:b/>
          <w:bCs/>
          <w:sz w:val="22"/>
          <w:szCs w:val="22"/>
          <w:u w:val="single"/>
        </w:rPr>
      </w:pPr>
    </w:p>
    <w:p>
      <w:pPr>
        <w:pStyle w:val="83"/>
        <w:widowControl w:val="0"/>
        <w:numPr>
          <w:ilvl w:val="0"/>
          <w:numId w:val="9"/>
        </w:numPr>
        <w:pBdr>
          <w:top w:val="single" w:color="auto" w:sz="4" w:space="1"/>
          <w:left w:val="single" w:color="auto" w:sz="4" w:space="4"/>
          <w:bottom w:val="single" w:color="auto" w:sz="4" w:space="1"/>
          <w:right w:val="single" w:color="auto" w:sz="4" w:space="4"/>
          <w:between w:val="single" w:color="auto" w:sz="4" w:space="1"/>
        </w:pBdr>
        <w:shd w:val="clear" w:color="auto" w:fill="D8D8D8" w:themeFill="background1" w:themeFillShade="D9"/>
        <w:spacing w:after="80"/>
        <w:ind w:left="0" w:firstLine="0"/>
        <w:contextualSpacing w:val="0"/>
        <w:jc w:val="both"/>
        <w:rPr>
          <w:rFonts w:ascii="Book Antiqua" w:hAnsi="Book Antiqua"/>
          <w:b/>
          <w:snapToGrid w:val="0"/>
          <w:color w:val="0000FF"/>
          <w:sz w:val="22"/>
          <w:szCs w:val="22"/>
        </w:rPr>
      </w:pPr>
      <w:r>
        <w:rPr>
          <w:rFonts w:ascii="Book Antiqua" w:hAnsi="Book Antiqua"/>
          <w:b/>
          <w:snapToGrid w:val="0"/>
          <w:color w:val="0000FF"/>
          <w:sz w:val="22"/>
          <w:szCs w:val="22"/>
        </w:rPr>
        <w:t>DAS OBRIGAÇÕES DA CONTRATADA</w:t>
      </w:r>
    </w:p>
    <w:p>
      <w:pPr>
        <w:pStyle w:val="83"/>
        <w:widowControl w:val="0"/>
        <w:numPr>
          <w:ilvl w:val="1"/>
          <w:numId w:val="9"/>
        </w:numPr>
        <w:autoSpaceDE w:val="0"/>
        <w:autoSpaceDN w:val="0"/>
        <w:adjustRightInd w:val="0"/>
        <w:spacing w:after="80"/>
        <w:contextualSpacing w:val="0"/>
        <w:jc w:val="both"/>
        <w:rPr>
          <w:rFonts w:ascii="Book Antiqua" w:hAnsi="Book Antiqua"/>
          <w:sz w:val="22"/>
          <w:szCs w:val="22"/>
        </w:rPr>
      </w:pPr>
      <w:r>
        <w:rPr>
          <w:rFonts w:ascii="Book Antiqua" w:hAnsi="Book Antiqua"/>
          <w:sz w:val="22"/>
          <w:szCs w:val="22"/>
        </w:rPr>
        <w:t>Fornecer o objeto da licitação, de acordo com as especificações discriminadas no item 3</w:t>
      </w:r>
      <w:r>
        <w:rPr>
          <w:rFonts w:ascii="Book Antiqua" w:hAnsi="Book Antiqua"/>
          <w:b/>
          <w:sz w:val="22"/>
          <w:szCs w:val="22"/>
        </w:rPr>
        <w:t xml:space="preserve"> - Detalhamento do Objeto</w:t>
      </w:r>
      <w:r>
        <w:rPr>
          <w:rFonts w:ascii="Book Antiqua" w:hAnsi="Book Antiqua"/>
          <w:sz w:val="22"/>
          <w:szCs w:val="22"/>
        </w:rPr>
        <w:t xml:space="preserve"> do Termo de Referência, anexo I deste Edital.</w:t>
      </w:r>
    </w:p>
    <w:p>
      <w:pPr>
        <w:pStyle w:val="83"/>
        <w:numPr>
          <w:ilvl w:val="1"/>
          <w:numId w:val="9"/>
        </w:numPr>
        <w:spacing w:after="80"/>
        <w:jc w:val="both"/>
        <w:rPr>
          <w:rFonts w:ascii="Book Antiqua" w:hAnsi="Book Antiqua"/>
          <w:b/>
          <w:bCs/>
          <w:sz w:val="22"/>
          <w:szCs w:val="22"/>
          <w:u w:val="single"/>
        </w:rPr>
      </w:pPr>
      <w:r>
        <w:rPr>
          <w:rFonts w:ascii="Book Antiqua" w:hAnsi="Book Antiqua"/>
          <w:sz w:val="22"/>
          <w:szCs w:val="22"/>
        </w:rPr>
        <w:t xml:space="preserve">As obrigações da CONTRATADA </w:t>
      </w:r>
      <w:r>
        <w:rPr>
          <w:rFonts w:ascii="Book Antiqua" w:hAnsi="Book Antiqua"/>
          <w:b/>
          <w:bCs/>
          <w:sz w:val="22"/>
          <w:szCs w:val="22"/>
          <w:u w:val="single"/>
        </w:rPr>
        <w:t xml:space="preserve">estão consignadas no item </w:t>
      </w:r>
      <w:r>
        <w:rPr>
          <w:rFonts w:hint="default" w:ascii="Book Antiqua" w:hAnsi="Book Antiqua"/>
          <w:b/>
          <w:bCs/>
          <w:sz w:val="22"/>
          <w:szCs w:val="22"/>
          <w:u w:val="single"/>
          <w:lang w:val="pt-BR"/>
        </w:rPr>
        <w:t>20.</w:t>
      </w:r>
      <w:r>
        <w:rPr>
          <w:rFonts w:ascii="Book Antiqua" w:hAnsi="Book Antiqua"/>
          <w:b/>
          <w:bCs/>
          <w:sz w:val="22"/>
          <w:szCs w:val="22"/>
          <w:u w:val="single"/>
        </w:rPr>
        <w:t xml:space="preserve"> e subitens do Termo de Referência, anexo I deste Edital.</w:t>
      </w:r>
    </w:p>
    <w:p>
      <w:pPr>
        <w:pStyle w:val="83"/>
        <w:spacing w:after="80"/>
        <w:ind w:left="0"/>
        <w:jc w:val="both"/>
        <w:rPr>
          <w:rFonts w:ascii="Book Antiqua" w:hAnsi="Book Antiqua"/>
          <w:b/>
          <w:bCs/>
          <w:sz w:val="22"/>
          <w:szCs w:val="22"/>
          <w:u w:val="single"/>
        </w:rPr>
      </w:pPr>
    </w:p>
    <w:p>
      <w:pPr>
        <w:pStyle w:val="83"/>
        <w:widowControl w:val="0"/>
        <w:numPr>
          <w:ilvl w:val="0"/>
          <w:numId w:val="9"/>
        </w:numPr>
        <w:pBdr>
          <w:top w:val="single" w:color="auto" w:sz="4" w:space="1"/>
          <w:left w:val="single" w:color="auto" w:sz="4" w:space="4"/>
          <w:bottom w:val="single" w:color="auto" w:sz="4" w:space="1"/>
          <w:right w:val="single" w:color="auto" w:sz="4" w:space="4"/>
          <w:between w:val="single" w:color="auto" w:sz="4" w:space="1"/>
        </w:pBdr>
        <w:shd w:val="clear" w:color="auto" w:fill="D8D8D8" w:themeFill="background1" w:themeFillShade="D9"/>
        <w:spacing w:after="80"/>
        <w:ind w:left="0" w:firstLine="0"/>
        <w:contextualSpacing w:val="0"/>
        <w:jc w:val="both"/>
        <w:rPr>
          <w:rFonts w:ascii="Book Antiqua" w:hAnsi="Book Antiqua"/>
          <w:b/>
          <w:color w:val="0000FF"/>
          <w:sz w:val="22"/>
          <w:szCs w:val="22"/>
        </w:rPr>
      </w:pPr>
      <w:r>
        <w:rPr>
          <w:rFonts w:ascii="Book Antiqua" w:hAnsi="Book Antiqua"/>
          <w:b/>
          <w:color w:val="0000FF"/>
          <w:sz w:val="22"/>
          <w:szCs w:val="22"/>
        </w:rPr>
        <w:t>DOS CUSTOS</w:t>
      </w:r>
    </w:p>
    <w:p>
      <w:pPr>
        <w:pStyle w:val="83"/>
        <w:widowControl w:val="0"/>
        <w:numPr>
          <w:ilvl w:val="1"/>
          <w:numId w:val="9"/>
        </w:numPr>
        <w:tabs>
          <w:tab w:val="left" w:pos="440"/>
          <w:tab w:val="clear" w:pos="720"/>
        </w:tabs>
        <w:spacing w:after="80"/>
        <w:ind w:left="0" w:firstLine="0"/>
        <w:contextualSpacing w:val="0"/>
        <w:jc w:val="both"/>
        <w:rPr>
          <w:rFonts w:ascii="Book Antiqua" w:hAnsi="Book Antiqua"/>
          <w:sz w:val="22"/>
          <w:szCs w:val="22"/>
        </w:rPr>
      </w:pPr>
      <w:r>
        <w:rPr>
          <w:rFonts w:ascii="Book Antiqua" w:hAnsi="Book Antiqua"/>
          <w:sz w:val="22"/>
          <w:szCs w:val="22"/>
        </w:rPr>
        <w:t xml:space="preserve"> Os custos a serem adotados para o registro obedecerão aos custos previstos no QUADRO </w:t>
      </w:r>
      <w:r>
        <w:rPr>
          <w:rFonts w:ascii="Book Antiqua" w:hAnsi="Book Antiqua"/>
          <w:color w:val="000000" w:themeColor="text1"/>
          <w:sz w:val="22"/>
          <w:szCs w:val="22"/>
        </w:rPr>
        <w:t xml:space="preserve">COMPARATIVO / DEMONSTRATIVO DE PREÇOS, conforme </w:t>
      </w:r>
      <w:r>
        <w:rPr>
          <w:rFonts w:hint="default" w:ascii="Book Antiqua" w:hAnsi="Book Antiqua"/>
          <w:color w:val="000000" w:themeColor="text1"/>
          <w:sz w:val="22"/>
          <w:szCs w:val="22"/>
          <w:lang w:val="pt-BR"/>
        </w:rPr>
        <w:t>Quadro de valores</w:t>
      </w:r>
      <w:r>
        <w:rPr>
          <w:rFonts w:ascii="Book Antiqua" w:hAnsi="Book Antiqua"/>
          <w:color w:val="000000" w:themeColor="text1"/>
          <w:sz w:val="22"/>
          <w:szCs w:val="22"/>
        </w:rPr>
        <w:t xml:space="preserve">, </w:t>
      </w:r>
      <w:r>
        <w:rPr>
          <w:rFonts w:ascii="Book Antiqua" w:hAnsi="Book Antiqua"/>
          <w:sz w:val="22"/>
          <w:szCs w:val="22"/>
        </w:rPr>
        <w:t>onde se encontram indicados os custos dos itens/objetos.</w:t>
      </w:r>
    </w:p>
    <w:p>
      <w:pPr>
        <w:pStyle w:val="83"/>
        <w:widowControl w:val="0"/>
        <w:numPr>
          <w:ilvl w:val="1"/>
          <w:numId w:val="9"/>
        </w:numPr>
        <w:tabs>
          <w:tab w:val="left" w:pos="440"/>
          <w:tab w:val="clear" w:pos="720"/>
        </w:tabs>
        <w:spacing w:after="80"/>
        <w:ind w:left="0" w:firstLine="0"/>
        <w:contextualSpacing w:val="0"/>
        <w:jc w:val="both"/>
        <w:rPr>
          <w:rFonts w:ascii="Book Antiqua" w:hAnsi="Book Antiqua"/>
          <w:sz w:val="22"/>
          <w:szCs w:val="22"/>
        </w:rPr>
      </w:pPr>
      <w:r>
        <w:rPr>
          <w:rFonts w:ascii="Book Antiqua" w:hAnsi="Book Antiqua"/>
          <w:sz w:val="22"/>
          <w:szCs w:val="22"/>
        </w:rPr>
        <w:t xml:space="preserve"> O QUADRO COMPARATIVO/DEMONSTRATIVO DE PREÇOS, estão devidamente assinados e autorizados pela Gerência de Compras/SML</w:t>
      </w:r>
      <w:r>
        <w:rPr>
          <w:rFonts w:hint="default" w:ascii="Book Antiqua" w:hAnsi="Book Antiqua"/>
          <w:sz w:val="22"/>
          <w:szCs w:val="22"/>
          <w:lang w:val="pt-BR"/>
        </w:rPr>
        <w:t xml:space="preserve"> no ID 528870</w:t>
      </w:r>
      <w:r>
        <w:rPr>
          <w:rFonts w:hint="default" w:ascii="Book Antiqua" w:hAnsi="Book Antiqua"/>
          <w:color w:val="000000" w:themeColor="text1"/>
          <w:sz w:val="22"/>
          <w:szCs w:val="22"/>
          <w:lang w:val="pt-BR"/>
        </w:rPr>
        <w:t xml:space="preserve"> (e-Proc)</w:t>
      </w:r>
      <w:r>
        <w:rPr>
          <w:rFonts w:ascii="Book Antiqua" w:hAnsi="Book Antiqua"/>
          <w:sz w:val="22"/>
          <w:szCs w:val="22"/>
        </w:rPr>
        <w:t>.</w:t>
      </w:r>
    </w:p>
    <w:p>
      <w:pPr>
        <w:pStyle w:val="83"/>
        <w:widowControl w:val="0"/>
        <w:numPr>
          <w:ilvl w:val="0"/>
          <w:numId w:val="0"/>
        </w:numPr>
        <w:tabs>
          <w:tab w:val="left" w:pos="440"/>
        </w:tabs>
        <w:spacing w:after="80"/>
        <w:ind w:leftChars="0"/>
        <w:contextualSpacing w:val="0"/>
        <w:jc w:val="both"/>
        <w:rPr>
          <w:rFonts w:ascii="Book Antiqua" w:hAnsi="Book Antiqua"/>
          <w:sz w:val="22"/>
          <w:szCs w:val="22"/>
        </w:rPr>
      </w:pPr>
    </w:p>
    <w:p>
      <w:pPr>
        <w:pStyle w:val="83"/>
        <w:widowControl w:val="0"/>
        <w:numPr>
          <w:ilvl w:val="0"/>
          <w:numId w:val="9"/>
        </w:numPr>
        <w:pBdr>
          <w:top w:val="single" w:color="auto" w:sz="4" w:space="1"/>
          <w:left w:val="single" w:color="auto" w:sz="4" w:space="4"/>
          <w:bottom w:val="single" w:color="auto" w:sz="4" w:space="1"/>
          <w:right w:val="single" w:color="auto" w:sz="4" w:space="4"/>
          <w:between w:val="single" w:color="auto" w:sz="4" w:space="1"/>
        </w:pBdr>
        <w:shd w:val="clear" w:color="auto" w:fill="D8D8D8" w:themeFill="background1" w:themeFillShade="D9"/>
        <w:spacing w:after="80"/>
        <w:ind w:left="0" w:firstLine="0"/>
        <w:contextualSpacing w:val="0"/>
        <w:jc w:val="both"/>
        <w:rPr>
          <w:rFonts w:ascii="Book Antiqua" w:hAnsi="Book Antiqua"/>
          <w:b/>
          <w:color w:val="0000FF"/>
          <w:sz w:val="22"/>
          <w:szCs w:val="22"/>
        </w:rPr>
      </w:pPr>
      <w:r>
        <w:rPr>
          <w:rFonts w:ascii="Book Antiqua" w:hAnsi="Book Antiqua"/>
          <w:b/>
          <w:color w:val="0000FF"/>
          <w:sz w:val="22"/>
          <w:szCs w:val="22"/>
        </w:rPr>
        <w:t>DAS SANÇÕES ADMINISTRATIVAS</w:t>
      </w:r>
    </w:p>
    <w:p>
      <w:pPr>
        <w:pStyle w:val="47"/>
        <w:widowControl w:val="0"/>
        <w:numPr>
          <w:ilvl w:val="1"/>
          <w:numId w:val="9"/>
        </w:numPr>
        <w:tabs>
          <w:tab w:val="left" w:pos="440"/>
          <w:tab w:val="clear" w:pos="720"/>
        </w:tabs>
        <w:spacing w:after="120"/>
        <w:ind w:left="0" w:firstLine="0"/>
        <w:jc w:val="both"/>
        <w:rPr>
          <w:rFonts w:ascii="Book Antiqua" w:hAnsi="Book Antiqua"/>
          <w:b w:val="0"/>
          <w:sz w:val="22"/>
        </w:rPr>
      </w:pPr>
      <w:r>
        <w:rPr>
          <w:rFonts w:ascii="Book Antiqua" w:hAnsi="Book Antiqua"/>
          <w:b w:val="0"/>
          <w:sz w:val="22"/>
        </w:rPr>
        <w:t xml:space="preserve"> As participantes desta licitação estão sujeitas as sanções previstas no art. 7º da Lei 10.520/02.</w:t>
      </w:r>
    </w:p>
    <w:p>
      <w:pPr>
        <w:pStyle w:val="47"/>
        <w:widowControl w:val="0"/>
        <w:numPr>
          <w:ilvl w:val="1"/>
          <w:numId w:val="9"/>
        </w:numPr>
        <w:tabs>
          <w:tab w:val="left" w:pos="440"/>
          <w:tab w:val="clear" w:pos="720"/>
        </w:tabs>
        <w:spacing w:after="120"/>
        <w:ind w:left="0" w:firstLine="0"/>
        <w:jc w:val="both"/>
        <w:rPr>
          <w:rFonts w:ascii="Book Antiqua" w:hAnsi="Book Antiqua"/>
          <w:b w:val="0"/>
          <w:sz w:val="22"/>
        </w:rPr>
      </w:pPr>
      <w:r>
        <w:rPr>
          <w:rFonts w:ascii="Book Antiqua" w:hAnsi="Book Antiqua"/>
          <w:b w:val="0"/>
          <w:sz w:val="22"/>
        </w:rPr>
        <w:t xml:space="preserve"> Sem prejuízo das sanções cominadas no art. 87, I, III e IV, da Lei nº 8.666/93, pela inexecução total ou parcial </w:t>
      </w:r>
      <w:r>
        <w:rPr>
          <w:rFonts w:ascii="Book Antiqua" w:hAnsi="Book Antiqua"/>
          <w:b w:val="0"/>
          <w:bCs/>
          <w:sz w:val="22"/>
        </w:rPr>
        <w:t>das obrigações assumidas</w:t>
      </w:r>
      <w:r>
        <w:rPr>
          <w:rFonts w:ascii="Book Antiqua" w:hAnsi="Book Antiqua"/>
          <w:b w:val="0"/>
          <w:sz w:val="22"/>
        </w:rPr>
        <w:t xml:space="preserve">, a Administração poderá, garantida a prévia e ampla defesa, aplicar </w:t>
      </w:r>
      <w:r>
        <w:rPr>
          <w:rFonts w:ascii="Book Antiqua" w:hAnsi="Book Antiqua"/>
          <w:b w:val="0"/>
          <w:bCs/>
          <w:sz w:val="22"/>
        </w:rPr>
        <w:t xml:space="preserve">as sanções previstas no </w:t>
      </w:r>
      <w:r>
        <w:rPr>
          <w:rFonts w:ascii="Book Antiqua" w:hAnsi="Book Antiqua"/>
          <w:bCs/>
          <w:sz w:val="22"/>
        </w:rPr>
        <w:t xml:space="preserve">item </w:t>
      </w:r>
      <w:r>
        <w:rPr>
          <w:rFonts w:hint="default" w:ascii="Book Antiqua" w:hAnsi="Book Antiqua"/>
          <w:bCs/>
          <w:sz w:val="22"/>
          <w:lang w:val="pt-BR"/>
        </w:rPr>
        <w:t>21</w:t>
      </w:r>
      <w:r>
        <w:rPr>
          <w:rFonts w:ascii="Book Antiqua" w:hAnsi="Book Antiqua"/>
          <w:bCs/>
          <w:sz w:val="22"/>
        </w:rPr>
        <w:t xml:space="preserve"> e subitens do Termo de Referência</w:t>
      </w:r>
      <w:r>
        <w:rPr>
          <w:rFonts w:ascii="Book Antiqua" w:hAnsi="Book Antiqua"/>
          <w:b w:val="0"/>
          <w:bCs/>
          <w:sz w:val="22"/>
        </w:rPr>
        <w:t>, anexo I deste Edital, bem como aquelas estipulas na Minuta do Contrato (Anexo VI) e demais normas aplicáveis.</w:t>
      </w:r>
    </w:p>
    <w:p>
      <w:pPr>
        <w:pStyle w:val="47"/>
        <w:widowControl w:val="0"/>
        <w:numPr>
          <w:ilvl w:val="1"/>
          <w:numId w:val="9"/>
        </w:numPr>
        <w:tabs>
          <w:tab w:val="left" w:pos="440"/>
          <w:tab w:val="clear" w:pos="720"/>
        </w:tabs>
        <w:spacing w:after="120"/>
        <w:ind w:left="0" w:firstLine="0"/>
        <w:jc w:val="both"/>
        <w:rPr>
          <w:rFonts w:ascii="Book Antiqua" w:hAnsi="Book Antiqua"/>
          <w:b w:val="0"/>
          <w:sz w:val="22"/>
        </w:rPr>
      </w:pPr>
      <w:r>
        <w:rPr>
          <w:rFonts w:ascii="Book Antiqua" w:hAnsi="Book Antiqua"/>
          <w:b w:val="0"/>
          <w:bCs/>
          <w:sz w:val="22"/>
        </w:rPr>
        <w:t xml:space="preserve"> Nenhuma sanção será aplicada sem o devido processo administrativo, que prevê defesa prévia do interessado e recurso nos prazos definidos em Lei</w:t>
      </w:r>
      <w:r>
        <w:rPr>
          <w:rFonts w:ascii="Book Antiqua" w:hAnsi="Book Antiqua"/>
          <w:bCs/>
          <w:sz w:val="22"/>
        </w:rPr>
        <w:t xml:space="preserve">, </w:t>
      </w:r>
      <w:r>
        <w:rPr>
          <w:rFonts w:ascii="Book Antiqua" w:hAnsi="Book Antiqua"/>
          <w:b w:val="0"/>
          <w:bCs/>
          <w:sz w:val="22"/>
        </w:rPr>
        <w:t>sendo-lhe franqueada vista ao processo.</w:t>
      </w:r>
    </w:p>
    <w:p>
      <w:pPr>
        <w:pStyle w:val="47"/>
        <w:widowControl w:val="0"/>
        <w:numPr>
          <w:ilvl w:val="0"/>
          <w:numId w:val="0"/>
        </w:numPr>
        <w:tabs>
          <w:tab w:val="left" w:pos="440"/>
        </w:tabs>
        <w:spacing w:after="120"/>
        <w:ind w:leftChars="0"/>
        <w:jc w:val="both"/>
        <w:rPr>
          <w:rFonts w:ascii="Book Antiqua" w:hAnsi="Book Antiqua"/>
          <w:b w:val="0"/>
          <w:sz w:val="22"/>
        </w:rPr>
      </w:pPr>
    </w:p>
    <w:p>
      <w:pPr>
        <w:pStyle w:val="83"/>
        <w:widowControl w:val="0"/>
        <w:numPr>
          <w:ilvl w:val="0"/>
          <w:numId w:val="9"/>
        </w:numPr>
        <w:pBdr>
          <w:top w:val="single" w:color="auto" w:sz="4" w:space="1"/>
          <w:left w:val="single" w:color="auto" w:sz="4" w:space="4"/>
          <w:bottom w:val="single" w:color="auto" w:sz="4" w:space="1"/>
          <w:right w:val="single" w:color="auto" w:sz="4" w:space="4"/>
          <w:between w:val="single" w:color="auto" w:sz="4" w:space="1"/>
        </w:pBdr>
        <w:shd w:val="clear" w:color="auto" w:fill="D8D8D8" w:themeFill="background1" w:themeFillShade="D9"/>
        <w:spacing w:after="80"/>
        <w:ind w:left="0" w:firstLine="0"/>
        <w:contextualSpacing w:val="0"/>
        <w:jc w:val="both"/>
        <w:rPr>
          <w:rFonts w:ascii="Book Antiqua" w:hAnsi="Book Antiqua"/>
          <w:color w:val="0000FF"/>
          <w:sz w:val="22"/>
          <w:szCs w:val="22"/>
        </w:rPr>
      </w:pPr>
      <w:r>
        <w:rPr>
          <w:rFonts w:ascii="Book Antiqua" w:hAnsi="Book Antiqua"/>
          <w:b/>
          <w:bCs/>
          <w:color w:val="0000FF"/>
          <w:sz w:val="22"/>
          <w:szCs w:val="22"/>
        </w:rPr>
        <w:t>DOS RECURSOS ADMINISTRATIVOS REFERENTES ÀS SANÇÕES APLICADAS</w:t>
      </w:r>
    </w:p>
    <w:p>
      <w:pPr>
        <w:pStyle w:val="80"/>
        <w:widowControl w:val="0"/>
        <w:numPr>
          <w:ilvl w:val="1"/>
          <w:numId w:val="9"/>
        </w:numPr>
        <w:tabs>
          <w:tab w:val="left" w:pos="426"/>
          <w:tab w:val="clear" w:pos="720"/>
        </w:tabs>
        <w:spacing w:after="80"/>
        <w:jc w:val="both"/>
        <w:rPr>
          <w:rFonts w:ascii="Book Antiqua" w:hAnsi="Book Antiqua"/>
          <w:sz w:val="22"/>
          <w:szCs w:val="22"/>
        </w:rPr>
      </w:pPr>
      <w:r>
        <w:rPr>
          <w:rFonts w:ascii="Book Antiqua" w:hAnsi="Book Antiqua"/>
          <w:sz w:val="22"/>
          <w:szCs w:val="22"/>
        </w:rPr>
        <w:t xml:space="preserve">Dos atos da Comissão instituída para condução do processo administrativo, cabem representação, no prazo de 15 (quinze) dias úteis, a contar da notificação do ato, no caso de recusa de juntada de documentos ou pareceres e de realização de providências, observando-se as condições previstas </w:t>
      </w:r>
      <w:r>
        <w:rPr>
          <w:rFonts w:hint="default" w:ascii="Book Antiqua" w:hAnsi="Book Antiqua"/>
          <w:sz w:val="22"/>
          <w:szCs w:val="22"/>
          <w:lang w:val="pt-BR"/>
        </w:rPr>
        <w:t>no</w:t>
      </w:r>
      <w:r>
        <w:rPr>
          <w:rFonts w:ascii="Book Antiqua" w:hAnsi="Book Antiqua"/>
          <w:b/>
          <w:bCs/>
          <w:sz w:val="22"/>
          <w:szCs w:val="22"/>
        </w:rPr>
        <w:t xml:space="preserve"> ite</w:t>
      </w:r>
      <w:r>
        <w:rPr>
          <w:rFonts w:hint="default" w:ascii="Book Antiqua" w:hAnsi="Book Antiqua"/>
          <w:b/>
          <w:bCs/>
          <w:sz w:val="22"/>
          <w:szCs w:val="22"/>
          <w:lang w:val="pt-BR"/>
        </w:rPr>
        <w:t>m</w:t>
      </w:r>
      <w:r>
        <w:rPr>
          <w:rFonts w:ascii="Book Antiqua" w:hAnsi="Book Antiqua"/>
          <w:b/>
          <w:bCs/>
          <w:sz w:val="22"/>
          <w:szCs w:val="22"/>
        </w:rPr>
        <w:t xml:space="preserve"> </w:t>
      </w:r>
      <w:r>
        <w:rPr>
          <w:rFonts w:hint="default" w:ascii="Book Antiqua" w:hAnsi="Book Antiqua"/>
          <w:b/>
          <w:bCs/>
          <w:sz w:val="22"/>
          <w:szCs w:val="22"/>
          <w:lang w:val="pt-BR"/>
        </w:rPr>
        <w:t>22.</w:t>
      </w:r>
      <w:r>
        <w:rPr>
          <w:rFonts w:ascii="Book Antiqua" w:hAnsi="Book Antiqua"/>
          <w:sz w:val="22"/>
          <w:szCs w:val="22"/>
        </w:rPr>
        <w:t xml:space="preserve">  do Termo de Referência, anexo I deste Edital.</w:t>
      </w:r>
    </w:p>
    <w:p>
      <w:pPr>
        <w:pStyle w:val="80"/>
        <w:widowControl w:val="0"/>
        <w:numPr>
          <w:ilvl w:val="1"/>
          <w:numId w:val="9"/>
        </w:numPr>
        <w:tabs>
          <w:tab w:val="left" w:pos="426"/>
          <w:tab w:val="clear" w:pos="720"/>
        </w:tabs>
        <w:spacing w:after="80"/>
        <w:jc w:val="both"/>
        <w:rPr>
          <w:rFonts w:ascii="Book Antiqua" w:hAnsi="Book Antiqua"/>
          <w:sz w:val="22"/>
          <w:szCs w:val="22"/>
        </w:rPr>
      </w:pPr>
      <w:r>
        <w:rPr>
          <w:rFonts w:ascii="Book Antiqua" w:hAnsi="Book Antiqua"/>
          <w:sz w:val="22"/>
          <w:szCs w:val="22"/>
        </w:rPr>
        <w:t>Os recursos previstos não terão efeito suspensivo.</w:t>
      </w:r>
    </w:p>
    <w:p>
      <w:pPr>
        <w:pStyle w:val="80"/>
        <w:widowControl w:val="0"/>
        <w:numPr>
          <w:ilvl w:val="0"/>
          <w:numId w:val="0"/>
        </w:numPr>
        <w:tabs>
          <w:tab w:val="left" w:pos="426"/>
        </w:tabs>
        <w:spacing w:after="80"/>
        <w:ind w:leftChars="0"/>
        <w:jc w:val="both"/>
        <w:rPr>
          <w:rFonts w:ascii="Book Antiqua" w:hAnsi="Book Antiqua"/>
          <w:sz w:val="22"/>
          <w:szCs w:val="22"/>
        </w:rPr>
      </w:pPr>
    </w:p>
    <w:p>
      <w:pPr>
        <w:pStyle w:val="80"/>
        <w:widowControl w:val="0"/>
        <w:numPr>
          <w:ilvl w:val="0"/>
          <w:numId w:val="9"/>
        </w:numPr>
        <w:pBdr>
          <w:top w:val="single" w:color="auto" w:sz="4" w:space="1"/>
          <w:left w:val="single" w:color="auto" w:sz="4" w:space="4"/>
          <w:bottom w:val="single" w:color="auto" w:sz="4" w:space="1"/>
          <w:right w:val="single" w:color="auto" w:sz="4" w:space="4"/>
          <w:between w:val="single" w:color="auto" w:sz="4" w:space="1"/>
        </w:pBdr>
        <w:shd w:val="clear" w:color="auto" w:fill="D8D8D8" w:themeFill="background1" w:themeFillShade="D9"/>
        <w:tabs>
          <w:tab w:val="left" w:pos="426"/>
          <w:tab w:val="clear" w:pos="480"/>
        </w:tabs>
        <w:spacing w:after="80"/>
        <w:ind w:left="0" w:firstLine="0"/>
        <w:rPr>
          <w:rFonts w:ascii="Book Antiqua" w:hAnsi="Book Antiqua"/>
          <w:b/>
          <w:bCs/>
          <w:color w:val="0000FF"/>
          <w:sz w:val="22"/>
          <w:szCs w:val="22"/>
        </w:rPr>
      </w:pPr>
      <w:r>
        <w:rPr>
          <w:rFonts w:ascii="Book Antiqua" w:hAnsi="Book Antiqua"/>
          <w:b/>
          <w:bCs/>
          <w:color w:val="0000FF"/>
          <w:sz w:val="22"/>
          <w:szCs w:val="22"/>
        </w:rPr>
        <w:t xml:space="preserve">DA INSCRIÇÃO DAS PENALIDADES NO CADASTRO NACIONAL DE EMPRESAS INIDÔNEAS E SUSPENSAS </w:t>
      </w:r>
      <w:r>
        <w:rPr>
          <w:rFonts w:ascii="Book Antiqua" w:hAnsi="Book Antiqua"/>
          <w:bCs/>
          <w:color w:val="0000FF"/>
          <w:sz w:val="22"/>
          <w:szCs w:val="22"/>
        </w:rPr>
        <w:t>(DECRETO MUNICIPAL Nº. 16.875 DE 16 OUTUBRO DE 2020)</w:t>
      </w:r>
    </w:p>
    <w:p>
      <w:pPr>
        <w:pStyle w:val="83"/>
        <w:numPr>
          <w:ilvl w:val="1"/>
          <w:numId w:val="9"/>
        </w:numPr>
        <w:tabs>
          <w:tab w:val="left" w:pos="440"/>
          <w:tab w:val="clear" w:pos="720"/>
        </w:tabs>
        <w:spacing w:after="80"/>
        <w:ind w:left="0" w:firstLine="0"/>
        <w:jc w:val="both"/>
        <w:rPr>
          <w:rFonts w:ascii="Book Antiqua" w:hAnsi="Book Antiqua"/>
          <w:sz w:val="22"/>
          <w:szCs w:val="22"/>
        </w:rPr>
      </w:pPr>
      <w:r>
        <w:rPr>
          <w:rFonts w:ascii="Book Antiqua" w:hAnsi="Book Antiqua"/>
          <w:sz w:val="22"/>
          <w:szCs w:val="22"/>
        </w:rPr>
        <w:t xml:space="preserve"> A Comissão de Controle de Empresas Consideradas Impedidas de Licitar com o Município de Ariquemes, devidamente instituída por decreto, promoverá a inscrição das penalidades que ensejarem na suspensão, impedimento e inidoneidade de licitantes aplicadas pela Administração Pública Municipal, no Cadastro Nacional de Empresas Inidôneas e Suspensas - CEIS. </w:t>
      </w:r>
    </w:p>
    <w:p>
      <w:pPr>
        <w:pStyle w:val="83"/>
        <w:numPr>
          <w:ilvl w:val="1"/>
          <w:numId w:val="9"/>
        </w:numPr>
        <w:tabs>
          <w:tab w:val="left" w:pos="440"/>
          <w:tab w:val="clear" w:pos="720"/>
        </w:tabs>
        <w:spacing w:after="80"/>
        <w:ind w:left="0" w:firstLine="0"/>
        <w:jc w:val="both"/>
        <w:rPr>
          <w:rFonts w:ascii="Book Antiqua" w:hAnsi="Book Antiqua"/>
          <w:sz w:val="22"/>
          <w:szCs w:val="22"/>
        </w:rPr>
      </w:pPr>
      <w:r>
        <w:rPr>
          <w:rFonts w:ascii="Book Antiqua" w:hAnsi="Book Antiqua"/>
          <w:sz w:val="22"/>
          <w:szCs w:val="22"/>
        </w:rPr>
        <w:t xml:space="preserve"> As condições de inscrição das penalidades no CEIS estão descritas </w:t>
      </w:r>
      <w:r>
        <w:rPr>
          <w:rFonts w:hint="default" w:ascii="Book Antiqua" w:hAnsi="Book Antiqua"/>
          <w:sz w:val="22"/>
          <w:szCs w:val="22"/>
          <w:lang w:val="pt-BR"/>
        </w:rPr>
        <w:t>no</w:t>
      </w:r>
      <w:r>
        <w:rPr>
          <w:rFonts w:ascii="Book Antiqua" w:hAnsi="Book Antiqua"/>
          <w:sz w:val="22"/>
          <w:szCs w:val="22"/>
        </w:rPr>
        <w:t xml:space="preserve"> </w:t>
      </w:r>
      <w:r>
        <w:rPr>
          <w:rFonts w:ascii="Book Antiqua" w:hAnsi="Book Antiqua"/>
          <w:b/>
          <w:bCs/>
          <w:sz w:val="22"/>
          <w:szCs w:val="22"/>
        </w:rPr>
        <w:t>it</w:t>
      </w:r>
      <w:r>
        <w:rPr>
          <w:rFonts w:hint="default" w:ascii="Book Antiqua" w:hAnsi="Book Antiqua"/>
          <w:b/>
          <w:bCs/>
          <w:sz w:val="22"/>
          <w:szCs w:val="22"/>
          <w:lang w:val="pt-BR"/>
        </w:rPr>
        <w:t>em 23</w:t>
      </w:r>
      <w:r>
        <w:rPr>
          <w:rFonts w:ascii="Book Antiqua" w:hAnsi="Book Antiqua"/>
          <w:b/>
          <w:bCs/>
          <w:sz w:val="22"/>
          <w:szCs w:val="22"/>
        </w:rPr>
        <w:t xml:space="preserve"> e subitens</w:t>
      </w:r>
      <w:r>
        <w:rPr>
          <w:rFonts w:ascii="Book Antiqua" w:hAnsi="Book Antiqua"/>
          <w:sz w:val="22"/>
          <w:szCs w:val="22"/>
        </w:rPr>
        <w:t xml:space="preserve"> do Termo de Referência, anexo I deste Edital.</w:t>
      </w:r>
    </w:p>
    <w:p>
      <w:pPr>
        <w:pStyle w:val="80"/>
        <w:widowControl w:val="0"/>
        <w:tabs>
          <w:tab w:val="left" w:pos="426"/>
        </w:tabs>
        <w:spacing w:after="80"/>
        <w:jc w:val="both"/>
        <w:rPr>
          <w:rFonts w:ascii="Book Antiqua" w:hAnsi="Book Antiqua"/>
          <w:sz w:val="22"/>
          <w:szCs w:val="22"/>
        </w:rPr>
      </w:pPr>
    </w:p>
    <w:p>
      <w:pPr>
        <w:pStyle w:val="80"/>
        <w:widowControl w:val="0"/>
        <w:numPr>
          <w:ilvl w:val="0"/>
          <w:numId w:val="9"/>
        </w:numPr>
        <w:pBdr>
          <w:top w:val="single" w:color="auto" w:sz="4" w:space="1"/>
          <w:left w:val="single" w:color="auto" w:sz="4" w:space="4"/>
          <w:bottom w:val="single" w:color="auto" w:sz="4" w:space="1"/>
          <w:right w:val="single" w:color="auto" w:sz="4" w:space="4"/>
          <w:between w:val="single" w:color="auto" w:sz="4" w:space="1"/>
        </w:pBdr>
        <w:shd w:val="clear" w:color="auto" w:fill="D8D8D8" w:themeFill="background1" w:themeFillShade="D9"/>
        <w:tabs>
          <w:tab w:val="left" w:pos="426"/>
          <w:tab w:val="clear" w:pos="480"/>
        </w:tabs>
        <w:spacing w:after="80"/>
        <w:ind w:left="0" w:firstLine="0"/>
        <w:jc w:val="both"/>
        <w:rPr>
          <w:rFonts w:ascii="Book Antiqua" w:hAnsi="Book Antiqua"/>
          <w:b/>
          <w:color w:val="0000FF"/>
          <w:sz w:val="22"/>
          <w:szCs w:val="22"/>
        </w:rPr>
      </w:pPr>
      <w:r>
        <w:rPr>
          <w:rFonts w:ascii="Book Antiqua" w:hAnsi="Book Antiqua"/>
          <w:b/>
          <w:color w:val="0000FF"/>
          <w:sz w:val="22"/>
          <w:szCs w:val="22"/>
        </w:rPr>
        <w:t>DO INSTRUMENTO CONTRATUAL</w:t>
      </w:r>
    </w:p>
    <w:p>
      <w:pPr>
        <w:pStyle w:val="80"/>
        <w:widowControl w:val="0"/>
        <w:numPr>
          <w:ilvl w:val="1"/>
          <w:numId w:val="9"/>
        </w:numPr>
        <w:tabs>
          <w:tab w:val="left" w:pos="426"/>
          <w:tab w:val="clear" w:pos="720"/>
        </w:tabs>
        <w:spacing w:after="80"/>
        <w:ind w:left="0" w:firstLine="0"/>
        <w:jc w:val="both"/>
        <w:rPr>
          <w:rFonts w:ascii="Book Antiqua" w:hAnsi="Book Antiqua"/>
          <w:sz w:val="22"/>
          <w:szCs w:val="22"/>
        </w:rPr>
      </w:pPr>
      <w:r>
        <w:rPr>
          <w:rFonts w:ascii="Book Antiqua" w:hAnsi="Book Antiqua"/>
          <w:color w:val="000000"/>
          <w:sz w:val="22"/>
          <w:szCs w:val="22"/>
        </w:rPr>
        <w:t>O Instrumento Contratual obedecerá ao Art. 62.  O instrumento de contrato é obrigatório nos casos de concorrência e de tomada de preços, bem como nas dispensas e inexigibilidades cujos preços estejam compreendidos nos limites destas duas modalidades de licitação, e facultativo nos demais em que a Administração puder substituí-lo por outros instrumentos hábeis, tais como carta-contrato, nota de empenho de despesa, autorização de compra ou ordem de execução de serviço.</w:t>
      </w:r>
    </w:p>
    <w:p>
      <w:pPr>
        <w:pStyle w:val="80"/>
        <w:widowControl w:val="0"/>
        <w:numPr>
          <w:ilvl w:val="1"/>
          <w:numId w:val="9"/>
        </w:numPr>
        <w:tabs>
          <w:tab w:val="left" w:pos="426"/>
          <w:tab w:val="clear" w:pos="720"/>
        </w:tabs>
        <w:spacing w:after="80"/>
        <w:ind w:left="0" w:firstLine="0"/>
        <w:jc w:val="both"/>
        <w:rPr>
          <w:rFonts w:ascii="Book Antiqua" w:hAnsi="Book Antiqua"/>
          <w:sz w:val="22"/>
          <w:szCs w:val="22"/>
        </w:rPr>
      </w:pPr>
      <w:r>
        <w:rPr>
          <w:rFonts w:ascii="Book Antiqua" w:hAnsi="Book Antiqua"/>
          <w:sz w:val="22"/>
          <w:szCs w:val="22"/>
        </w:rPr>
        <w:t xml:space="preserve">As demais condições contratuais estão previstas na Minuta do Contrato (anexo VI) e </w:t>
      </w:r>
      <w:r>
        <w:rPr>
          <w:rFonts w:ascii="Book Antiqua" w:hAnsi="Book Antiqua"/>
          <w:b/>
          <w:bCs/>
          <w:sz w:val="22"/>
          <w:szCs w:val="22"/>
        </w:rPr>
        <w:t xml:space="preserve">do item </w:t>
      </w:r>
      <w:r>
        <w:rPr>
          <w:rFonts w:hint="default" w:ascii="Book Antiqua" w:hAnsi="Book Antiqua"/>
          <w:b/>
          <w:bCs/>
          <w:sz w:val="22"/>
          <w:szCs w:val="22"/>
          <w:lang w:val="pt-BR"/>
        </w:rPr>
        <w:t>27</w:t>
      </w:r>
      <w:r>
        <w:rPr>
          <w:rFonts w:ascii="Book Antiqua" w:hAnsi="Book Antiqua"/>
          <w:b/>
          <w:bCs/>
          <w:sz w:val="22"/>
          <w:szCs w:val="22"/>
        </w:rPr>
        <w:t>. e subitens do Termo de Referência</w:t>
      </w:r>
      <w:r>
        <w:rPr>
          <w:rFonts w:ascii="Book Antiqua" w:hAnsi="Book Antiqua"/>
          <w:sz w:val="22"/>
          <w:szCs w:val="22"/>
        </w:rPr>
        <w:t xml:space="preserve"> (anexo I deste Edital)</w:t>
      </w:r>
    </w:p>
    <w:p>
      <w:pPr>
        <w:pStyle w:val="80"/>
        <w:widowControl w:val="0"/>
        <w:numPr>
          <w:ilvl w:val="0"/>
          <w:numId w:val="9"/>
        </w:numPr>
        <w:pBdr>
          <w:top w:val="single" w:color="auto" w:sz="4" w:space="1"/>
          <w:left w:val="single" w:color="auto" w:sz="4" w:space="4"/>
          <w:bottom w:val="single" w:color="auto" w:sz="4" w:space="1"/>
          <w:right w:val="single" w:color="auto" w:sz="4" w:space="4"/>
          <w:between w:val="single" w:color="auto" w:sz="4" w:space="1"/>
        </w:pBdr>
        <w:shd w:val="clear" w:color="auto" w:fill="D8D8D8" w:themeFill="background1" w:themeFillShade="D9"/>
        <w:tabs>
          <w:tab w:val="left" w:pos="426"/>
          <w:tab w:val="clear" w:pos="480"/>
        </w:tabs>
        <w:spacing w:after="40"/>
        <w:ind w:left="0" w:firstLine="0"/>
        <w:jc w:val="both"/>
        <w:rPr>
          <w:rFonts w:ascii="Book Antiqua" w:hAnsi="Book Antiqua"/>
          <w:b/>
          <w:color w:val="0000FF"/>
          <w:sz w:val="22"/>
          <w:szCs w:val="22"/>
        </w:rPr>
      </w:pPr>
      <w:r>
        <w:rPr>
          <w:rFonts w:ascii="Book Antiqua" w:hAnsi="Book Antiqua"/>
          <w:b/>
          <w:color w:val="0000FF"/>
          <w:sz w:val="22"/>
          <w:szCs w:val="22"/>
        </w:rPr>
        <w:t>DA SUBCONTRATAÇÃO CESSÃO E/OU TRANSFERÊNCIA</w:t>
      </w:r>
    </w:p>
    <w:p>
      <w:pPr>
        <w:pStyle w:val="80"/>
        <w:widowControl w:val="0"/>
        <w:numPr>
          <w:ilvl w:val="1"/>
          <w:numId w:val="9"/>
        </w:numPr>
        <w:tabs>
          <w:tab w:val="left" w:pos="0"/>
          <w:tab w:val="clear" w:pos="720"/>
        </w:tabs>
        <w:spacing w:after="40"/>
        <w:ind w:left="0" w:leftChars="0" w:firstLine="0" w:firstLineChars="0"/>
        <w:jc w:val="both"/>
        <w:rPr>
          <w:rFonts w:ascii="Book Antiqua" w:hAnsi="Book Antiqua"/>
          <w:sz w:val="22"/>
          <w:szCs w:val="22"/>
        </w:rPr>
      </w:pPr>
      <w:r>
        <w:rPr>
          <w:rFonts w:ascii="Book Antiqua" w:hAnsi="Book Antiqua"/>
          <w:sz w:val="22"/>
          <w:szCs w:val="22"/>
        </w:rPr>
        <w:t>É vedada a subcontratação total ou parcial do objeto deste termo, pela contratada à outra empresa, a cessão ou transferência total ou parcial do objeto licitado.</w:t>
      </w:r>
    </w:p>
    <w:p>
      <w:pPr>
        <w:pStyle w:val="83"/>
        <w:numPr>
          <w:ilvl w:val="1"/>
          <w:numId w:val="9"/>
        </w:numPr>
        <w:tabs>
          <w:tab w:val="left" w:pos="0"/>
          <w:tab w:val="clear" w:pos="720"/>
        </w:tabs>
        <w:spacing w:after="40"/>
        <w:ind w:left="0" w:leftChars="0" w:firstLine="0" w:firstLineChars="0"/>
        <w:jc w:val="both"/>
        <w:rPr>
          <w:rFonts w:ascii="Book Antiqua" w:hAnsi="Book Antiqua"/>
          <w:sz w:val="22"/>
          <w:szCs w:val="22"/>
        </w:rPr>
      </w:pPr>
      <w:r>
        <w:rPr>
          <w:rFonts w:ascii="Book Antiqua" w:hAnsi="Book Antiqua"/>
          <w:sz w:val="22"/>
          <w:szCs w:val="22"/>
        </w:rPr>
        <w:t>Ainda o entendimento do Acórdão TCU nº 1316/2010, que atribui à Administração a prerrogativa de admissão de consórcios em licitações por ela promovidas.</w:t>
      </w:r>
    </w:p>
    <w:p>
      <w:pPr>
        <w:pStyle w:val="83"/>
        <w:tabs>
          <w:tab w:val="left" w:pos="0"/>
        </w:tabs>
        <w:spacing w:after="40"/>
        <w:ind w:left="-11"/>
        <w:jc w:val="both"/>
        <w:rPr>
          <w:rFonts w:ascii="Book Antiqua" w:hAnsi="Book Antiqua"/>
          <w:sz w:val="22"/>
          <w:szCs w:val="22"/>
        </w:rPr>
      </w:pPr>
    </w:p>
    <w:p>
      <w:pPr>
        <w:pStyle w:val="80"/>
        <w:widowControl w:val="0"/>
        <w:numPr>
          <w:ilvl w:val="0"/>
          <w:numId w:val="9"/>
        </w:numPr>
        <w:pBdr>
          <w:top w:val="single" w:color="auto" w:sz="4" w:space="1"/>
          <w:left w:val="single" w:color="auto" w:sz="4" w:space="4"/>
          <w:bottom w:val="single" w:color="auto" w:sz="4" w:space="1"/>
          <w:right w:val="single" w:color="auto" w:sz="4" w:space="4"/>
          <w:between w:val="single" w:color="auto" w:sz="4" w:space="1"/>
        </w:pBdr>
        <w:shd w:val="clear" w:color="auto" w:fill="D8D8D8" w:themeFill="background1" w:themeFillShade="D9"/>
        <w:tabs>
          <w:tab w:val="left" w:pos="426"/>
          <w:tab w:val="clear" w:pos="480"/>
        </w:tabs>
        <w:spacing w:after="40"/>
        <w:ind w:left="0" w:firstLine="0"/>
        <w:jc w:val="both"/>
        <w:rPr>
          <w:rFonts w:ascii="Book Antiqua" w:hAnsi="Book Antiqua"/>
          <w:b/>
          <w:color w:val="0000FF"/>
          <w:sz w:val="22"/>
          <w:szCs w:val="22"/>
        </w:rPr>
      </w:pPr>
      <w:r>
        <w:rPr>
          <w:rFonts w:ascii="Book Antiqua" w:hAnsi="Book Antiqua"/>
          <w:b/>
          <w:color w:val="0000FF"/>
          <w:sz w:val="22"/>
          <w:szCs w:val="22"/>
        </w:rPr>
        <w:t>DA FRAUDE E DA CORRUPÇÃO</w:t>
      </w:r>
    </w:p>
    <w:p>
      <w:pPr>
        <w:pStyle w:val="25"/>
        <w:widowControl w:val="0"/>
        <w:numPr>
          <w:ilvl w:val="1"/>
          <w:numId w:val="9"/>
        </w:numPr>
        <w:tabs>
          <w:tab w:val="left" w:pos="567"/>
          <w:tab w:val="clear" w:pos="720"/>
        </w:tabs>
        <w:spacing w:after="40"/>
        <w:rPr>
          <w:rFonts w:ascii="Book Antiqua" w:hAnsi="Book Antiqua"/>
          <w:sz w:val="22"/>
        </w:rPr>
      </w:pPr>
      <w:r>
        <w:rPr>
          <w:rFonts w:ascii="Book Antiqua" w:hAnsi="Book Antiqua"/>
          <w:sz w:val="22"/>
        </w:rPr>
        <w:t>As Licitantes deverão observar os mais altos padrões éticos durante o processo licitatório e a execução contratual, estando sujeitas às sanções previstas na legislação brasileira.</w:t>
      </w:r>
    </w:p>
    <w:p>
      <w:pPr>
        <w:pStyle w:val="25"/>
        <w:widowControl w:val="0"/>
        <w:tabs>
          <w:tab w:val="left" w:pos="567"/>
        </w:tabs>
        <w:spacing w:after="40"/>
        <w:ind w:firstLine="0"/>
        <w:rPr>
          <w:rFonts w:ascii="Book Antiqua" w:hAnsi="Book Antiqua"/>
          <w:sz w:val="22"/>
        </w:rPr>
      </w:pPr>
    </w:p>
    <w:p>
      <w:pPr>
        <w:pStyle w:val="83"/>
        <w:widowControl w:val="0"/>
        <w:numPr>
          <w:ilvl w:val="0"/>
          <w:numId w:val="9"/>
        </w:numPr>
        <w:pBdr>
          <w:top w:val="single" w:color="auto" w:sz="4" w:space="1"/>
          <w:left w:val="single" w:color="auto" w:sz="4" w:space="4"/>
          <w:bottom w:val="single" w:color="auto" w:sz="4" w:space="1"/>
          <w:right w:val="single" w:color="auto" w:sz="4" w:space="4"/>
          <w:between w:val="single" w:color="auto" w:sz="4" w:space="1"/>
        </w:pBdr>
        <w:shd w:val="clear" w:color="auto" w:fill="D8D8D8" w:themeFill="background1" w:themeFillShade="D9"/>
        <w:spacing w:after="40"/>
        <w:ind w:left="0" w:firstLine="0"/>
        <w:contextualSpacing w:val="0"/>
        <w:jc w:val="both"/>
        <w:rPr>
          <w:rFonts w:ascii="Book Antiqua" w:hAnsi="Book Antiqua"/>
          <w:b/>
          <w:bCs/>
          <w:color w:val="0000FF"/>
          <w:sz w:val="22"/>
          <w:szCs w:val="22"/>
        </w:rPr>
      </w:pPr>
      <w:r>
        <w:rPr>
          <w:rFonts w:ascii="Book Antiqua" w:hAnsi="Book Antiqua"/>
          <w:b/>
          <w:color w:val="0000FF"/>
          <w:sz w:val="22"/>
          <w:szCs w:val="22"/>
        </w:rPr>
        <w:t>DAS DISPOSIÇÕES GERAIS</w:t>
      </w:r>
    </w:p>
    <w:p>
      <w:pPr>
        <w:pStyle w:val="83"/>
        <w:widowControl w:val="0"/>
        <w:numPr>
          <w:ilvl w:val="1"/>
          <w:numId w:val="9"/>
        </w:numPr>
        <w:tabs>
          <w:tab w:val="clear" w:pos="720"/>
        </w:tabs>
        <w:spacing w:after="80"/>
        <w:ind w:left="0" w:firstLine="0"/>
        <w:contextualSpacing w:val="0"/>
        <w:jc w:val="both"/>
        <w:rPr>
          <w:rFonts w:ascii="Book Antiqua" w:hAnsi="Book Antiqua"/>
          <w:b/>
          <w:color w:val="0000FF"/>
          <w:sz w:val="22"/>
          <w:szCs w:val="22"/>
        </w:rPr>
      </w:pPr>
      <w:r>
        <w:rPr>
          <w:rFonts w:ascii="Book Antiqua" w:hAnsi="Book Antiqua"/>
          <w:sz w:val="22"/>
          <w:szCs w:val="22"/>
        </w:rPr>
        <w:t xml:space="preserve">A Administração Pública se reserva no direito de: </w:t>
      </w:r>
    </w:p>
    <w:p>
      <w:pPr>
        <w:pStyle w:val="83"/>
        <w:widowControl w:val="0"/>
        <w:numPr>
          <w:ilvl w:val="1"/>
          <w:numId w:val="9"/>
        </w:numPr>
        <w:tabs>
          <w:tab w:val="clear" w:pos="720"/>
        </w:tabs>
        <w:spacing w:after="80"/>
        <w:ind w:left="0" w:firstLine="0"/>
        <w:contextualSpacing w:val="0"/>
        <w:jc w:val="both"/>
        <w:rPr>
          <w:rFonts w:ascii="Book Antiqua" w:hAnsi="Book Antiqua"/>
          <w:b/>
          <w:color w:val="0000FF"/>
          <w:sz w:val="22"/>
          <w:szCs w:val="22"/>
        </w:rPr>
      </w:pPr>
      <w:r>
        <w:rPr>
          <w:rFonts w:ascii="Book Antiqua" w:hAnsi="Book Antiqua"/>
          <w:sz w:val="22"/>
          <w:szCs w:val="22"/>
        </w:rPr>
        <w:t>Anular a licitação se houver vício ou ilegalidade, a modo próprio ou por provocação de terceiros;</w:t>
      </w:r>
    </w:p>
    <w:p>
      <w:pPr>
        <w:pStyle w:val="83"/>
        <w:widowControl w:val="0"/>
        <w:numPr>
          <w:ilvl w:val="2"/>
          <w:numId w:val="9"/>
        </w:numPr>
        <w:tabs>
          <w:tab w:val="left" w:pos="1100"/>
          <w:tab w:val="clear" w:pos="1288"/>
        </w:tabs>
        <w:spacing w:after="80"/>
        <w:ind w:left="660" w:firstLine="0"/>
        <w:contextualSpacing w:val="0"/>
        <w:jc w:val="both"/>
        <w:rPr>
          <w:rFonts w:ascii="Book Antiqua" w:hAnsi="Book Antiqua"/>
          <w:b/>
          <w:color w:val="0000FF"/>
          <w:sz w:val="22"/>
          <w:szCs w:val="22"/>
        </w:rPr>
      </w:pPr>
      <w:r>
        <w:rPr>
          <w:rFonts w:ascii="Book Antiqua" w:hAnsi="Book Antiqua"/>
          <w:sz w:val="22"/>
          <w:szCs w:val="22"/>
        </w:rPr>
        <w:t xml:space="preserve">Revogar por interesse da </w:t>
      </w:r>
      <w:r>
        <w:rPr>
          <w:rFonts w:ascii="Book Antiqua" w:hAnsi="Book Antiqua"/>
          <w:b/>
          <w:sz w:val="22"/>
          <w:szCs w:val="22"/>
        </w:rPr>
        <w:t>Prefeitura Municipal de Ariquemes/RO</w:t>
      </w:r>
      <w:r>
        <w:rPr>
          <w:rFonts w:ascii="Book Antiqua" w:hAnsi="Book Antiqua"/>
          <w:sz w:val="22"/>
          <w:szCs w:val="22"/>
        </w:rPr>
        <w:t xml:space="preserve"> em decorrência de fato superveniente devidamente comprovado, pertinente e suficiente para justificar o ato, ou anulada por vício ou ilegalidade, a modo próprio ou por provocação de terceiros, sem que à Licitante tenha direito a qualquer indenização, obedecendo ao disposto no art. 29 do Decreto Municipal nº 15.792/2019 e subsidiariamente ao art. 49 da Lei 8.666/93.</w:t>
      </w:r>
    </w:p>
    <w:p>
      <w:pPr>
        <w:pStyle w:val="83"/>
        <w:widowControl w:val="0"/>
        <w:numPr>
          <w:ilvl w:val="1"/>
          <w:numId w:val="9"/>
        </w:numPr>
        <w:spacing w:after="80"/>
        <w:ind w:left="0" w:firstLine="0"/>
        <w:contextualSpacing w:val="0"/>
        <w:jc w:val="both"/>
        <w:rPr>
          <w:rFonts w:ascii="Book Antiqua" w:hAnsi="Book Antiqua"/>
          <w:sz w:val="22"/>
          <w:szCs w:val="22"/>
        </w:rPr>
      </w:pPr>
      <w:r>
        <w:rPr>
          <w:rFonts w:ascii="Book Antiqua" w:hAnsi="Book Antiqua"/>
          <w:sz w:val="22"/>
          <w:szCs w:val="22"/>
        </w:rPr>
        <w:t>Qualquer modificação no presente Edital será divulgada pela mesma forma que se divulgou o texto original, reabrindo-se o prazo inicialmente estabelecido, exceto quando, inquestionavelmente, a alteração não afetar a formulação da proposta de preços.</w:t>
      </w:r>
    </w:p>
    <w:p>
      <w:pPr>
        <w:pStyle w:val="83"/>
        <w:widowControl w:val="0"/>
        <w:numPr>
          <w:ilvl w:val="1"/>
          <w:numId w:val="9"/>
        </w:numPr>
        <w:spacing w:after="80"/>
        <w:ind w:left="0" w:firstLine="0"/>
        <w:contextualSpacing w:val="0"/>
        <w:jc w:val="both"/>
        <w:rPr>
          <w:rFonts w:ascii="Book Antiqua" w:hAnsi="Book Antiqua"/>
          <w:sz w:val="22"/>
          <w:szCs w:val="22"/>
        </w:rPr>
      </w:pPr>
      <w:r>
        <w:rPr>
          <w:rFonts w:ascii="Book Antiqua" w:hAnsi="Book Antiqua"/>
          <w:sz w:val="22"/>
          <w:szCs w:val="22"/>
        </w:rPr>
        <w:t>Ao Pregoeiro ou a Autoridade Competente, é facultado, em qualquer fase da licitação a promoção de diligência, destinada a esclarecer ou complementar a instrução do processo, vedada a inclusão posterior de documentos ou informações que deveriam constar do mesmo desde a realização da sessão pública.</w:t>
      </w:r>
    </w:p>
    <w:p>
      <w:pPr>
        <w:pStyle w:val="83"/>
        <w:widowControl w:val="0"/>
        <w:numPr>
          <w:ilvl w:val="1"/>
          <w:numId w:val="9"/>
        </w:numPr>
        <w:spacing w:after="80"/>
        <w:ind w:left="0" w:firstLine="0"/>
        <w:contextualSpacing w:val="0"/>
        <w:jc w:val="both"/>
        <w:rPr>
          <w:rFonts w:ascii="Book Antiqua" w:hAnsi="Book Antiqua"/>
          <w:sz w:val="22"/>
          <w:szCs w:val="22"/>
        </w:rPr>
      </w:pPr>
      <w:r>
        <w:rPr>
          <w:rFonts w:ascii="Book Antiqua" w:hAnsi="Book Antiqua"/>
          <w:sz w:val="22"/>
          <w:szCs w:val="22"/>
        </w:rPr>
        <w:t>As Licitantes são responsáveis pela fidelidade e legitimidade das informações e dos documentos apresentados em qualquer fase da licitação.</w:t>
      </w:r>
    </w:p>
    <w:p>
      <w:pPr>
        <w:pStyle w:val="83"/>
        <w:widowControl w:val="0"/>
        <w:numPr>
          <w:ilvl w:val="1"/>
          <w:numId w:val="9"/>
        </w:numPr>
        <w:spacing w:after="80"/>
        <w:ind w:left="0" w:firstLine="0"/>
        <w:contextualSpacing w:val="0"/>
        <w:jc w:val="both"/>
        <w:rPr>
          <w:rFonts w:ascii="Book Antiqua" w:hAnsi="Book Antiqua"/>
          <w:sz w:val="22"/>
          <w:szCs w:val="22"/>
        </w:rPr>
      </w:pPr>
      <w:r>
        <w:rPr>
          <w:rFonts w:ascii="Book Antiqua" w:hAnsi="Book Antiqua"/>
          <w:sz w:val="22"/>
          <w:szCs w:val="22"/>
        </w:rPr>
        <w:t xml:space="preserve">Após apresentação da proposta de preços, não caberá desistência desta, sob pena da licitante sofrer as sanções </w:t>
      </w:r>
      <w:r>
        <w:rPr>
          <w:rFonts w:ascii="Book Antiqua" w:hAnsi="Book Antiqua"/>
          <w:color w:val="000000" w:themeColor="text1"/>
          <w:sz w:val="22"/>
          <w:szCs w:val="22"/>
        </w:rPr>
        <w:t>previstas no art. 7º, da Lei Federal nº. 10.520/2002 c/c as demais normas que regem esta licitação, salvo se houver motivo justo, decorrente de fato superveniente e aceita pelo pregoeiro.</w:t>
      </w:r>
    </w:p>
    <w:p>
      <w:pPr>
        <w:pStyle w:val="83"/>
        <w:widowControl w:val="0"/>
        <w:numPr>
          <w:ilvl w:val="1"/>
          <w:numId w:val="9"/>
        </w:numPr>
        <w:spacing w:after="80"/>
        <w:ind w:left="0" w:firstLine="0"/>
        <w:contextualSpacing w:val="0"/>
        <w:jc w:val="both"/>
        <w:rPr>
          <w:rFonts w:ascii="Book Antiqua" w:hAnsi="Book Antiqua"/>
          <w:sz w:val="22"/>
          <w:szCs w:val="22"/>
        </w:rPr>
      </w:pPr>
      <w:r>
        <w:rPr>
          <w:rFonts w:ascii="Book Antiqua" w:hAnsi="Book Antiqua"/>
          <w:color w:val="000000" w:themeColor="text1"/>
          <w:sz w:val="22"/>
          <w:szCs w:val="22"/>
        </w:rPr>
        <w:t xml:space="preserve">A homologação do resultado desta licitação não implicará direito à contratação do objeto pela Prefeitura Municipal de Ariquemes/RO. </w:t>
      </w:r>
    </w:p>
    <w:p>
      <w:pPr>
        <w:pStyle w:val="83"/>
        <w:widowControl w:val="0"/>
        <w:numPr>
          <w:ilvl w:val="1"/>
          <w:numId w:val="9"/>
        </w:numPr>
        <w:spacing w:after="80"/>
        <w:ind w:left="0" w:firstLine="0"/>
        <w:contextualSpacing w:val="0"/>
        <w:jc w:val="both"/>
        <w:rPr>
          <w:rFonts w:ascii="Book Antiqua" w:hAnsi="Book Antiqua"/>
          <w:sz w:val="22"/>
          <w:szCs w:val="22"/>
        </w:rPr>
      </w:pPr>
      <w:r>
        <w:rPr>
          <w:rFonts w:ascii="Book Antiqua" w:hAnsi="Book Antiqua"/>
          <w:sz w:val="22"/>
          <w:szCs w:val="22"/>
        </w:rPr>
        <w:t>Na contagem dos prazos estabelecidos neste Edital e seus Anexos, excluir-se-á o dia do início e incluir-se-á o do vencimento. Vencendo-se os prazos somente em dias de expediente normais no Órgão Licitador.</w:t>
      </w:r>
    </w:p>
    <w:p>
      <w:pPr>
        <w:pStyle w:val="83"/>
        <w:widowControl w:val="0"/>
        <w:numPr>
          <w:ilvl w:val="1"/>
          <w:numId w:val="9"/>
        </w:numPr>
        <w:spacing w:after="80"/>
        <w:ind w:left="0" w:firstLine="0"/>
        <w:contextualSpacing w:val="0"/>
        <w:jc w:val="both"/>
        <w:rPr>
          <w:rFonts w:ascii="Book Antiqua" w:hAnsi="Book Antiqua"/>
          <w:sz w:val="22"/>
          <w:szCs w:val="22"/>
        </w:rPr>
      </w:pPr>
      <w:r>
        <w:rPr>
          <w:rFonts w:ascii="Book Antiqua" w:hAnsi="Book Antiqua"/>
          <w:sz w:val="22"/>
          <w:szCs w:val="22"/>
        </w:rPr>
        <w:t>O desatendimento de exigências formais não essenciais, não importará no afastamento da Licitante, desde que seja possível a aferição da sua qualificação, e a exata compreensão da sua proposta de preços de preços, durante a realização da sessão pública do Pregão Eletrônico.</w:t>
      </w:r>
    </w:p>
    <w:p>
      <w:pPr>
        <w:pStyle w:val="83"/>
        <w:widowControl w:val="0"/>
        <w:numPr>
          <w:ilvl w:val="1"/>
          <w:numId w:val="9"/>
        </w:numPr>
        <w:spacing w:after="80"/>
        <w:ind w:left="0" w:firstLine="0"/>
        <w:contextualSpacing w:val="0"/>
        <w:jc w:val="both"/>
        <w:rPr>
          <w:rFonts w:ascii="Book Antiqua" w:hAnsi="Book Antiqua"/>
          <w:sz w:val="22"/>
          <w:szCs w:val="22"/>
        </w:rPr>
      </w:pPr>
      <w:r>
        <w:rPr>
          <w:rFonts w:ascii="Book Antiqua" w:hAnsi="Book Antiqua"/>
          <w:sz w:val="22"/>
          <w:szCs w:val="22"/>
        </w:rPr>
        <w:t>Para fins de aplicação das Sanções Administrativas constantes no presente Edital, o lance é considerado o da proposta de preços.</w:t>
      </w:r>
    </w:p>
    <w:p>
      <w:pPr>
        <w:pStyle w:val="83"/>
        <w:widowControl w:val="0"/>
        <w:numPr>
          <w:ilvl w:val="1"/>
          <w:numId w:val="9"/>
        </w:numPr>
        <w:spacing w:after="80"/>
        <w:ind w:left="0" w:firstLine="0"/>
        <w:contextualSpacing w:val="0"/>
        <w:jc w:val="both"/>
        <w:rPr>
          <w:rFonts w:ascii="Book Antiqua" w:hAnsi="Book Antiqua"/>
          <w:sz w:val="22"/>
          <w:szCs w:val="22"/>
        </w:rPr>
      </w:pPr>
      <w:r>
        <w:rPr>
          <w:rFonts w:ascii="Book Antiqua" w:hAnsi="Book Antiqua"/>
          <w:color w:val="000000" w:themeColor="text1"/>
          <w:sz w:val="22"/>
          <w:szCs w:val="22"/>
        </w:rPr>
        <w:t>As normas que disciplinam este Pregão Eletrônico serão sempre interpretadas, em favor da ampliação da disputa entre os interessados, sem comprometimento do interesse da Prefeitura Municipal de Ariquemes, a finalidade e a segurança da contratação.</w:t>
      </w:r>
    </w:p>
    <w:p>
      <w:pPr>
        <w:pStyle w:val="83"/>
        <w:widowControl w:val="0"/>
        <w:numPr>
          <w:ilvl w:val="1"/>
          <w:numId w:val="9"/>
        </w:numPr>
        <w:spacing w:after="80"/>
        <w:ind w:left="0" w:firstLine="0"/>
        <w:contextualSpacing w:val="0"/>
        <w:jc w:val="both"/>
        <w:rPr>
          <w:rFonts w:ascii="Book Antiqua" w:hAnsi="Book Antiqua"/>
          <w:sz w:val="22"/>
          <w:szCs w:val="22"/>
        </w:rPr>
      </w:pPr>
      <w:r>
        <w:rPr>
          <w:rFonts w:ascii="Book Antiqua" w:hAnsi="Book Antiqua"/>
          <w:sz w:val="22"/>
          <w:szCs w:val="22"/>
        </w:rPr>
        <w:t>O objeto da presente licitação poderá sofrer acréscimos ou supressões, conforme previsto no § 1°, do Art. 65, da Lei Federal nº. 8.666/93.</w:t>
      </w:r>
    </w:p>
    <w:p>
      <w:pPr>
        <w:pStyle w:val="83"/>
        <w:widowControl w:val="0"/>
        <w:numPr>
          <w:ilvl w:val="1"/>
          <w:numId w:val="9"/>
        </w:numPr>
        <w:spacing w:after="80"/>
        <w:ind w:left="0" w:firstLine="0"/>
        <w:contextualSpacing w:val="0"/>
        <w:jc w:val="both"/>
        <w:rPr>
          <w:rFonts w:ascii="Book Antiqua" w:hAnsi="Book Antiqua"/>
          <w:sz w:val="22"/>
          <w:szCs w:val="22"/>
        </w:rPr>
      </w:pPr>
      <w:r>
        <w:rPr>
          <w:rFonts w:ascii="Book Antiqua" w:hAnsi="Book Antiqua"/>
          <w:sz w:val="22"/>
          <w:szCs w:val="22"/>
        </w:rPr>
        <w:t>As Licitantes não terão direito à indenização em decorrência da anulação do procedimento licitatório, ressalvado o direito do CONTRATADO de boa-fé de ser ressarcido pelos encargos que tiver suportado no cumprimento do instrumento contratual.</w:t>
      </w:r>
    </w:p>
    <w:p>
      <w:pPr>
        <w:pStyle w:val="83"/>
        <w:widowControl w:val="0"/>
        <w:numPr>
          <w:ilvl w:val="1"/>
          <w:numId w:val="9"/>
        </w:numPr>
        <w:spacing w:after="80"/>
        <w:ind w:left="0" w:firstLine="0"/>
        <w:contextualSpacing w:val="0"/>
        <w:jc w:val="both"/>
        <w:rPr>
          <w:rFonts w:ascii="Book Antiqua" w:hAnsi="Book Antiqua"/>
          <w:sz w:val="22"/>
          <w:szCs w:val="22"/>
        </w:rPr>
      </w:pPr>
      <w:r>
        <w:rPr>
          <w:rFonts w:ascii="Book Antiqua" w:hAnsi="Book Antiqua"/>
          <w:sz w:val="22"/>
          <w:szCs w:val="22"/>
        </w:rPr>
        <w:t>O presente Edital e seus Anexos, bem como a proposta da proponente vencedora, farão parte integrante do Instrumento Contratual como se nele estivesse transcrito, ressalvado o valor proposto, por quanto prevalecerá o melhor lance ofertado ou valor negociado;</w:t>
      </w:r>
    </w:p>
    <w:p>
      <w:pPr>
        <w:pStyle w:val="83"/>
        <w:widowControl w:val="0"/>
        <w:numPr>
          <w:ilvl w:val="1"/>
          <w:numId w:val="9"/>
        </w:numPr>
        <w:spacing w:after="80"/>
        <w:ind w:left="0" w:firstLine="0"/>
        <w:contextualSpacing w:val="0"/>
        <w:jc w:val="both"/>
        <w:rPr>
          <w:rFonts w:ascii="Book Antiqua" w:hAnsi="Book Antiqua"/>
          <w:sz w:val="22"/>
          <w:szCs w:val="22"/>
        </w:rPr>
      </w:pPr>
      <w:r>
        <w:rPr>
          <w:rFonts w:ascii="Book Antiqua" w:hAnsi="Book Antiqua"/>
          <w:sz w:val="22"/>
          <w:szCs w:val="22"/>
        </w:rPr>
        <w:t xml:space="preserve">Dos atos praticados, o sistema gerará Ata circunstanciada, na qual estarão registrados todos os atos do procedimento e as ocorrências relevantes, que estará disponível para consulta no endereço eletrônico </w:t>
      </w:r>
      <w:r>
        <w:fldChar w:fldCharType="begin"/>
      </w:r>
      <w:r>
        <w:instrText xml:space="preserve"> HYPERLINK "http://www.comprasnet.gov.br" </w:instrText>
      </w:r>
      <w:r>
        <w:fldChar w:fldCharType="separate"/>
      </w:r>
      <w:r>
        <w:rPr>
          <w:rStyle w:val="19"/>
          <w:rFonts w:ascii="Book Antiqua" w:hAnsi="Book Antiqua"/>
          <w:b/>
          <w:sz w:val="22"/>
          <w:szCs w:val="22"/>
        </w:rPr>
        <w:t>www.gov.br</w:t>
      </w:r>
      <w:r>
        <w:rPr>
          <w:rStyle w:val="19"/>
          <w:rFonts w:ascii="Book Antiqua" w:hAnsi="Book Antiqua"/>
          <w:b/>
          <w:sz w:val="22"/>
          <w:szCs w:val="22"/>
        </w:rPr>
        <w:fldChar w:fldCharType="end"/>
      </w:r>
      <w:r>
        <w:rPr>
          <w:rStyle w:val="19"/>
          <w:rFonts w:ascii="Book Antiqua" w:hAnsi="Book Antiqua"/>
          <w:b/>
          <w:sz w:val="22"/>
          <w:szCs w:val="22"/>
        </w:rPr>
        <w:t>/compras</w:t>
      </w:r>
      <w:r>
        <w:rPr>
          <w:rFonts w:ascii="Book Antiqua" w:hAnsi="Book Antiqua"/>
          <w:b/>
          <w:sz w:val="22"/>
          <w:szCs w:val="22"/>
        </w:rPr>
        <w:t xml:space="preserve">, </w:t>
      </w:r>
      <w:r>
        <w:rPr>
          <w:rFonts w:ascii="Book Antiqua" w:hAnsi="Book Antiqua"/>
          <w:sz w:val="22"/>
          <w:szCs w:val="22"/>
        </w:rPr>
        <w:t xml:space="preserve">sem prejuízo das demais formas de publicidade prevista na legislação pertinente. </w:t>
      </w:r>
    </w:p>
    <w:p>
      <w:pPr>
        <w:pStyle w:val="83"/>
        <w:widowControl w:val="0"/>
        <w:numPr>
          <w:ilvl w:val="1"/>
          <w:numId w:val="9"/>
        </w:numPr>
        <w:spacing w:after="80"/>
        <w:ind w:left="0" w:firstLine="0"/>
        <w:contextualSpacing w:val="0"/>
        <w:jc w:val="both"/>
        <w:rPr>
          <w:rFonts w:ascii="Book Antiqua" w:hAnsi="Book Antiqua"/>
          <w:sz w:val="22"/>
          <w:szCs w:val="22"/>
        </w:rPr>
      </w:pPr>
      <w:r>
        <w:rPr>
          <w:rFonts w:ascii="Book Antiqua" w:hAnsi="Book Antiqua"/>
          <w:sz w:val="22"/>
          <w:szCs w:val="22"/>
        </w:rPr>
        <w:t xml:space="preserve">Fica </w:t>
      </w:r>
      <w:r>
        <w:rPr>
          <w:rFonts w:ascii="Book Antiqua" w:hAnsi="Book Antiqua"/>
          <w:color w:val="000000" w:themeColor="text1"/>
          <w:sz w:val="22"/>
          <w:szCs w:val="22"/>
        </w:rPr>
        <w:t>assegurada a Prefeitura Municipal de Ariquemes, o direito de, no interesse da Administração, anular ou revogar a qualquer tempo, no todo ou em parte, a presente licitação, dando ciência aos participantes na forma da Legislação vigente;</w:t>
      </w:r>
    </w:p>
    <w:p>
      <w:pPr>
        <w:pStyle w:val="83"/>
        <w:widowControl w:val="0"/>
        <w:numPr>
          <w:ilvl w:val="1"/>
          <w:numId w:val="9"/>
        </w:numPr>
        <w:spacing w:after="80"/>
        <w:ind w:left="0" w:firstLine="0"/>
        <w:contextualSpacing w:val="0"/>
        <w:jc w:val="both"/>
        <w:rPr>
          <w:rFonts w:ascii="Book Antiqua" w:hAnsi="Book Antiqua"/>
          <w:sz w:val="22"/>
          <w:szCs w:val="22"/>
        </w:rPr>
      </w:pPr>
      <w:r>
        <w:rPr>
          <w:rFonts w:ascii="Book Antiqua" w:hAnsi="Book Antiqua"/>
          <w:sz w:val="22"/>
          <w:szCs w:val="22"/>
        </w:rPr>
        <w:t>Havendo divergência entre as exigências contidas no Edital e em seus Anexos, prevalecerá pela ordem, o Edital, o Termo de Referência, e por último os demais anexos.</w:t>
      </w:r>
    </w:p>
    <w:p>
      <w:pPr>
        <w:pStyle w:val="83"/>
        <w:widowControl w:val="0"/>
        <w:numPr>
          <w:ilvl w:val="1"/>
          <w:numId w:val="9"/>
        </w:numPr>
        <w:spacing w:after="80"/>
        <w:ind w:left="0" w:firstLine="0"/>
        <w:contextualSpacing w:val="0"/>
        <w:jc w:val="both"/>
        <w:rPr>
          <w:rFonts w:ascii="Book Antiqua" w:hAnsi="Book Antiqua" w:eastAsia="ArialMT" w:cs="Book Antiqua"/>
          <w:b/>
          <w:bCs/>
          <w:color w:val="000000"/>
          <w:sz w:val="22"/>
          <w:szCs w:val="22"/>
          <w:lang w:val="en-US" w:eastAsia="zh-CN" w:bidi="ar"/>
        </w:rPr>
      </w:pPr>
      <w:r>
        <w:rPr>
          <w:rFonts w:ascii="Book Antiqua" w:hAnsi="Book Antiqua"/>
          <w:sz w:val="22"/>
          <w:szCs w:val="22"/>
        </w:rPr>
        <w:t xml:space="preserve">Aos Casos Omissos, serão solucionados diretamente pelo pregoeiro ou autoridade competente, observados os preceitos de direito público e as disposições que se aplicam as demais condições constantes no Decreto Federal nº 10.024/2019, na Lei Federal nº. 10.520, de 17 de julho de 2002, e subsidiariamente, na Lei Federal nº. 8.666, de 21 de junho de 1993, com suas alterações, e ainda, Lei complementar nº. 123/06 e alterações. </w:t>
      </w:r>
    </w:p>
    <w:p>
      <w:pPr>
        <w:pStyle w:val="83"/>
        <w:widowControl w:val="0"/>
        <w:numPr>
          <w:ilvl w:val="1"/>
          <w:numId w:val="9"/>
        </w:numPr>
        <w:spacing w:after="80"/>
        <w:ind w:left="0" w:firstLine="0"/>
        <w:contextualSpacing w:val="0"/>
        <w:jc w:val="both"/>
        <w:rPr>
          <w:rFonts w:ascii="Book Antiqua" w:hAnsi="Book Antiqua" w:eastAsia="ArialMT" w:cs="Book Antiqua"/>
          <w:b/>
          <w:bCs/>
          <w:color w:val="000000"/>
          <w:sz w:val="22"/>
          <w:szCs w:val="22"/>
          <w:lang w:val="en-US" w:eastAsia="zh-CN" w:bidi="ar"/>
        </w:rPr>
      </w:pPr>
      <w:r>
        <w:rPr>
          <w:rFonts w:ascii="Book Antiqua" w:hAnsi="Book Antiqua" w:cs="Book Antiqua"/>
          <w:b/>
          <w:bCs/>
          <w:sz w:val="22"/>
          <w:szCs w:val="22"/>
        </w:rPr>
        <w:t xml:space="preserve">Conforme a Instrução Normativa nº 4, datado em 05 de outubro de 2020, que </w:t>
      </w:r>
      <w:r>
        <w:rPr>
          <w:rFonts w:ascii="Book Antiqua" w:hAnsi="Book Antiqua" w:eastAsia="ArialMT" w:cs="Book Antiqua"/>
          <w:b/>
          <w:bCs/>
          <w:color w:val="000000"/>
          <w:sz w:val="22"/>
          <w:szCs w:val="22"/>
          <w:lang w:val="en-US" w:eastAsia="zh-CN" w:bidi="ar"/>
        </w:rPr>
        <w:t>Regulamenta sobre utilização do Sistema Eletrônico</w:t>
      </w:r>
      <w:r>
        <w:rPr>
          <w:rFonts w:ascii="Book Antiqua" w:hAnsi="Book Antiqua" w:eastAsia="ArialMT" w:cs="Book Antiqua"/>
          <w:b/>
          <w:bCs/>
          <w:color w:val="000000"/>
          <w:sz w:val="22"/>
          <w:szCs w:val="22"/>
          <w:lang w:eastAsia="zh-CN" w:bidi="ar"/>
        </w:rPr>
        <w:t xml:space="preserve"> </w:t>
      </w:r>
      <w:r>
        <w:rPr>
          <w:rFonts w:ascii="Book Antiqua" w:hAnsi="Book Antiqua" w:eastAsia="ArialMT" w:cs="Book Antiqua"/>
          <w:b/>
          <w:bCs/>
          <w:color w:val="000000"/>
          <w:sz w:val="22"/>
          <w:szCs w:val="22"/>
          <w:lang w:val="en-US" w:eastAsia="zh-CN" w:bidi="ar"/>
        </w:rPr>
        <w:t xml:space="preserve">de Informações (e-PROC), estabelece a utilização obrigatória para todos os tipos de processos em </w:t>
      </w:r>
      <w:r>
        <w:rPr>
          <w:rFonts w:ascii="Book Antiqua" w:hAnsi="Book Antiqua" w:eastAsia="ArialMT" w:cs="Book Antiqua"/>
          <w:b/>
          <w:bCs/>
          <w:color w:val="000000"/>
          <w:sz w:val="22"/>
          <w:szCs w:val="22"/>
          <w:lang w:eastAsia="zh-CN" w:bidi="ar"/>
        </w:rPr>
        <w:t>t</w:t>
      </w:r>
      <w:r>
        <w:rPr>
          <w:rFonts w:ascii="Book Antiqua" w:hAnsi="Book Antiqua" w:eastAsia="ArialMT" w:cs="Book Antiqua"/>
          <w:b/>
          <w:bCs/>
          <w:color w:val="000000"/>
          <w:sz w:val="22"/>
          <w:szCs w:val="22"/>
          <w:lang w:val="en-US" w:eastAsia="zh-CN" w:bidi="ar"/>
        </w:rPr>
        <w:t xml:space="preserve">ramitação e novos e outras providencias. </w:t>
      </w:r>
    </w:p>
    <w:p>
      <w:pPr>
        <w:numPr>
          <w:ilvl w:val="2"/>
          <w:numId w:val="9"/>
        </w:numPr>
        <w:tabs>
          <w:tab w:val="left" w:pos="1760"/>
          <w:tab w:val="clear" w:pos="1288"/>
        </w:tabs>
        <w:spacing w:after="120"/>
        <w:ind w:left="660" w:leftChars="300" w:firstLine="0"/>
        <w:jc w:val="both"/>
        <w:rPr>
          <w:rFonts w:ascii="Book Antiqua" w:hAnsi="Book Antiqua" w:eastAsia="ArialMT"/>
          <w:color w:val="0000EE"/>
          <w:u w:val="single"/>
          <w:lang w:eastAsia="zh-CN"/>
        </w:rPr>
      </w:pPr>
      <w:r>
        <w:rPr>
          <w:rFonts w:ascii="Book Antiqua" w:hAnsi="Book Antiqua" w:eastAsia="Arial-BoldMT" w:cs="Book Antiqua"/>
          <w:b/>
          <w:bCs/>
          <w:color w:val="000000"/>
          <w:highlight w:val="yellow"/>
          <w:lang w:val="en-US" w:eastAsia="zh-CN" w:bidi="ar"/>
        </w:rPr>
        <w:t xml:space="preserve">Art. 2º </w:t>
      </w:r>
      <w:r>
        <w:rPr>
          <w:rFonts w:ascii="Book Antiqua" w:hAnsi="Book Antiqua" w:eastAsia="ArialMT" w:cs="Book Antiqua"/>
          <w:color w:val="000000"/>
          <w:highlight w:val="yellow"/>
          <w:lang w:val="en-US" w:eastAsia="zh-CN" w:bidi="ar"/>
        </w:rPr>
        <w:t>Poderá ser realizado o credenciamento destes Fornecedores e ou prestadores de serviços e outros como usuários externos, conforme orientação do "Manual do</w:t>
      </w:r>
      <w:r>
        <w:rPr>
          <w:rFonts w:ascii="Book Antiqua" w:hAnsi="Book Antiqua" w:eastAsia="ArialMT" w:cs="Book Antiqua"/>
          <w:color w:val="000000"/>
          <w:highlight w:val="yellow"/>
          <w:lang w:eastAsia="zh-CN" w:bidi="ar"/>
        </w:rPr>
        <w:t xml:space="preserve"> C</w:t>
      </w:r>
      <w:r>
        <w:rPr>
          <w:rFonts w:ascii="Book Antiqua" w:hAnsi="Book Antiqua" w:eastAsia="ArialMT" w:cs="Book Antiqua"/>
          <w:color w:val="000000"/>
          <w:highlight w:val="yellow"/>
          <w:lang w:val="en-US" w:eastAsia="zh-CN" w:bidi="ar"/>
        </w:rPr>
        <w:t>redenciamento", disponível na página da Prefeitura no banner credenciamento ou no link</w:t>
      </w:r>
      <w:r>
        <w:rPr>
          <w:rFonts w:ascii="Book Antiqua" w:hAnsi="Book Antiqua" w:eastAsia="ArialMT" w:cs="Book Antiqua"/>
          <w:color w:val="000000"/>
          <w:highlight w:val="yellow"/>
          <w:lang w:eastAsia="zh-CN" w:bidi="ar"/>
        </w:rPr>
        <w:t xml:space="preserve">: </w:t>
      </w:r>
      <w:r>
        <w:fldChar w:fldCharType="begin"/>
      </w:r>
      <w:r>
        <w:instrText xml:space="preserve"> HYPERLINK "https://ariquemes.ro.gov.br/pma-portal/public/paginas/credenciamento" </w:instrText>
      </w:r>
      <w:r>
        <w:fldChar w:fldCharType="separate"/>
      </w:r>
      <w:r>
        <w:rPr>
          <w:rStyle w:val="19"/>
          <w:rFonts w:ascii="Book Antiqua" w:hAnsi="Book Antiqua" w:eastAsia="ArialMT"/>
          <w:b/>
          <w:bCs/>
          <w:highlight w:val="yellow"/>
          <w:lang w:eastAsia="zh-CN"/>
        </w:rPr>
        <w:t>https://ariquemes.ro.gov.br/pma-portal/public/paginas/credenciamento</w:t>
      </w:r>
      <w:r>
        <w:rPr>
          <w:rStyle w:val="19"/>
          <w:rFonts w:ascii="Book Antiqua" w:hAnsi="Book Antiqua" w:eastAsia="ArialMT"/>
          <w:b/>
          <w:bCs/>
          <w:highlight w:val="yellow"/>
          <w:lang w:eastAsia="zh-CN"/>
        </w:rPr>
        <w:fldChar w:fldCharType="end"/>
      </w:r>
      <w:r>
        <w:rPr>
          <w:rFonts w:ascii="Book Antiqua" w:hAnsi="Book Antiqua" w:eastAsia="ArialMT"/>
          <w:b/>
          <w:bCs/>
          <w:color w:val="0000EE"/>
          <w:highlight w:val="yellow"/>
          <w:u w:val="single"/>
          <w:lang w:eastAsia="zh-CN"/>
        </w:rPr>
        <w:t>.</w:t>
      </w:r>
    </w:p>
    <w:p>
      <w:pPr>
        <w:numPr>
          <w:ilvl w:val="2"/>
          <w:numId w:val="9"/>
        </w:numPr>
        <w:tabs>
          <w:tab w:val="left" w:pos="1760"/>
          <w:tab w:val="clear" w:pos="1288"/>
        </w:tabs>
        <w:spacing w:after="120"/>
        <w:ind w:left="660" w:leftChars="300" w:firstLine="0"/>
        <w:rPr>
          <w:rFonts w:ascii="Book Antiqua" w:hAnsi="Book Antiqua" w:cs="Book Antiqua"/>
        </w:rPr>
      </w:pPr>
      <w:r>
        <w:rPr>
          <w:rFonts w:ascii="Book Antiqua" w:hAnsi="Book Antiqua" w:eastAsia="ArialMT" w:cs="Book Antiqua"/>
          <w:color w:val="000000"/>
          <w:lang w:eastAsia="zh-CN" w:bidi="ar"/>
        </w:rPr>
        <w:t>Ficando a obrigatoriedade</w:t>
      </w:r>
      <w:r>
        <w:rPr>
          <w:rFonts w:ascii="Book Antiqua" w:hAnsi="Book Antiqua" w:eastAsia="ArialMT" w:cs="Book Antiqua"/>
          <w:color w:val="000000"/>
          <w:lang w:val="en-US" w:eastAsia="zh-CN" w:bidi="ar"/>
        </w:rPr>
        <w:t xml:space="preserve"> da informação do </w:t>
      </w:r>
      <w:r>
        <w:rPr>
          <w:rFonts w:ascii="Book Antiqua" w:hAnsi="Book Antiqua" w:eastAsia="Arial-BoldMT" w:cs="Book Antiqua"/>
          <w:b/>
          <w:bCs/>
          <w:color w:val="000000"/>
          <w:lang w:val="en-US" w:eastAsia="zh-CN" w:bidi="ar"/>
        </w:rPr>
        <w:t xml:space="preserve">e-mail do fornecedor </w:t>
      </w:r>
      <w:r>
        <w:rPr>
          <w:rFonts w:ascii="Book Antiqua" w:hAnsi="Book Antiqua" w:eastAsia="ArialMT" w:cs="Book Antiqua"/>
          <w:color w:val="000000"/>
          <w:lang w:val="en-US" w:eastAsia="zh-CN" w:bidi="ar"/>
        </w:rPr>
        <w:t xml:space="preserve">participante: </w:t>
      </w:r>
    </w:p>
    <w:p>
      <w:pPr>
        <w:spacing w:after="120"/>
        <w:ind w:left="660" w:leftChars="300"/>
        <w:jc w:val="both"/>
        <w:rPr>
          <w:rFonts w:ascii="Book Antiqua" w:hAnsi="Book Antiqua"/>
          <w:b/>
          <w:u w:val="single"/>
        </w:rPr>
      </w:pPr>
      <w:r>
        <w:rPr>
          <w:rFonts w:ascii="Book Antiqua" w:hAnsi="Book Antiqua" w:eastAsia="Arial-ItalicMT" w:cs="Book Antiqua"/>
          <w:color w:val="000000"/>
          <w:lang w:val="en-US" w:eastAsia="zh-CN" w:bidi="ar"/>
        </w:rPr>
        <w:t xml:space="preserve">"Os interessados/participantes do certame ficam cientes que quando da contratação junto ao Município terão sua adesão compulsória ao sistema de processo eletrônico, dessa forma estará aceitando e aderindo ao </w:t>
      </w:r>
      <w:r>
        <w:rPr>
          <w:rFonts w:ascii="Book Antiqua" w:hAnsi="Book Antiqua" w:eastAsia="Arial-ItalicMT" w:cs="Book Antiqua"/>
          <w:b/>
          <w:bCs/>
          <w:color w:val="000000"/>
          <w:highlight w:val="yellow"/>
          <w:u w:val="single"/>
          <w:lang w:val="en-US" w:eastAsia="zh-CN" w:bidi="ar"/>
        </w:rPr>
        <w:t>"Termo de Concordância e Veracidade"</w:t>
      </w:r>
      <w:r>
        <w:rPr>
          <w:rFonts w:ascii="Book Antiqua" w:hAnsi="Book Antiqua" w:eastAsia="Arial-ItalicMT" w:cs="Book Antiqua"/>
          <w:color w:val="000000"/>
          <w:u w:val="single"/>
          <w:lang w:val="en-US" w:eastAsia="zh-CN" w:bidi="ar"/>
        </w:rPr>
        <w:t>,</w:t>
      </w:r>
      <w:r>
        <w:rPr>
          <w:rFonts w:ascii="Book Antiqua" w:hAnsi="Book Antiqua" w:eastAsia="Arial-ItalicMT" w:cs="Book Antiqua"/>
          <w:color w:val="000000"/>
          <w:lang w:val="en-US" w:eastAsia="zh-CN" w:bidi="ar"/>
        </w:rPr>
        <w:t xml:space="preserve"> anexo ao edital, para atender a legalidade e as regras processuais quanto aos atos administrativos deste Município." </w:t>
      </w:r>
      <w:r>
        <w:rPr>
          <w:rFonts w:ascii="Book Antiqua" w:hAnsi="Book Antiqua"/>
          <w:b/>
          <w:highlight w:val="yellow"/>
          <w:u w:val="single"/>
        </w:rPr>
        <w:t>Conforme Anexo VII deste Edital.</w:t>
      </w:r>
    </w:p>
    <w:p>
      <w:pPr>
        <w:pStyle w:val="83"/>
        <w:widowControl w:val="0"/>
        <w:numPr>
          <w:ilvl w:val="1"/>
          <w:numId w:val="9"/>
        </w:numPr>
        <w:spacing w:after="40"/>
        <w:ind w:left="0" w:firstLine="0"/>
        <w:contextualSpacing w:val="0"/>
        <w:jc w:val="both"/>
        <w:rPr>
          <w:rFonts w:ascii="Book Antiqua" w:hAnsi="Book Antiqua"/>
          <w:sz w:val="22"/>
          <w:szCs w:val="22"/>
        </w:rPr>
      </w:pPr>
      <w:r>
        <w:rPr>
          <w:rFonts w:ascii="Book Antiqua" w:hAnsi="Book Antiqua"/>
          <w:sz w:val="22"/>
          <w:szCs w:val="22"/>
        </w:rPr>
        <w:t>Fica vedada a subcontratação total ou parcial do objeto, pela contratada à outra empresa, a cessão ou transferência total ou parcial do objeto licitado.</w:t>
      </w:r>
    </w:p>
    <w:p>
      <w:pPr>
        <w:pStyle w:val="83"/>
        <w:widowControl w:val="0"/>
        <w:numPr>
          <w:ilvl w:val="1"/>
          <w:numId w:val="9"/>
        </w:numPr>
        <w:spacing w:after="40"/>
        <w:ind w:left="0" w:firstLine="0"/>
        <w:contextualSpacing w:val="0"/>
        <w:jc w:val="both"/>
        <w:rPr>
          <w:rFonts w:ascii="Book Antiqua" w:hAnsi="Book Antiqua"/>
          <w:sz w:val="22"/>
          <w:szCs w:val="22"/>
        </w:rPr>
      </w:pPr>
      <w:r>
        <w:rPr>
          <w:rFonts w:ascii="Book Antiqua" w:hAnsi="Book Antiqua"/>
          <w:sz w:val="22"/>
          <w:szCs w:val="22"/>
        </w:rPr>
        <w:t xml:space="preserve">O Edital e seus Anexos poderão ser lidos e retirados somente por meio da Internet no site </w:t>
      </w:r>
      <w:r>
        <w:fldChar w:fldCharType="begin"/>
      </w:r>
      <w:r>
        <w:instrText xml:space="preserve"> HYPERLINK "http://www.comprasnet.gov.br" </w:instrText>
      </w:r>
      <w:r>
        <w:fldChar w:fldCharType="separate"/>
      </w:r>
      <w:r>
        <w:rPr>
          <w:rStyle w:val="19"/>
          <w:rFonts w:ascii="Book Antiqua" w:hAnsi="Book Antiqua"/>
          <w:b/>
          <w:sz w:val="22"/>
          <w:szCs w:val="22"/>
        </w:rPr>
        <w:t>www.gov.br</w:t>
      </w:r>
      <w:r>
        <w:rPr>
          <w:rStyle w:val="19"/>
          <w:rFonts w:ascii="Book Antiqua" w:hAnsi="Book Antiqua"/>
          <w:b/>
          <w:sz w:val="22"/>
          <w:szCs w:val="22"/>
        </w:rPr>
        <w:fldChar w:fldCharType="end"/>
      </w:r>
      <w:r>
        <w:rPr>
          <w:rStyle w:val="19"/>
          <w:rFonts w:ascii="Book Antiqua" w:hAnsi="Book Antiqua"/>
          <w:b/>
          <w:sz w:val="22"/>
          <w:szCs w:val="22"/>
        </w:rPr>
        <w:t>/compras</w:t>
      </w:r>
      <w:r>
        <w:rPr>
          <w:rFonts w:ascii="Book Antiqua" w:hAnsi="Book Antiqua"/>
          <w:b/>
          <w:sz w:val="22"/>
          <w:szCs w:val="22"/>
        </w:rPr>
        <w:t xml:space="preserve">. </w:t>
      </w:r>
      <w:r>
        <w:rPr>
          <w:rFonts w:ascii="Book Antiqua" w:hAnsi="Book Antiqua"/>
          <w:sz w:val="22"/>
          <w:szCs w:val="22"/>
        </w:rPr>
        <w:t xml:space="preserve">e alternativamente no site </w:t>
      </w:r>
      <w:r>
        <w:fldChar w:fldCharType="begin"/>
      </w:r>
      <w:r>
        <w:instrText xml:space="preserve"> HYPERLINK "http://www.ariquemes.ro.gov.br" </w:instrText>
      </w:r>
      <w:r>
        <w:fldChar w:fldCharType="separate"/>
      </w:r>
      <w:r>
        <w:rPr>
          <w:rStyle w:val="19"/>
          <w:rFonts w:ascii="Book Antiqua" w:hAnsi="Book Antiqua"/>
          <w:b/>
          <w:sz w:val="22"/>
          <w:szCs w:val="22"/>
        </w:rPr>
        <w:t>www.ariquemes.ro.gov.br</w:t>
      </w:r>
      <w:r>
        <w:rPr>
          <w:rStyle w:val="19"/>
          <w:rFonts w:ascii="Book Antiqua" w:hAnsi="Book Antiqua"/>
          <w:b/>
          <w:sz w:val="22"/>
          <w:szCs w:val="22"/>
        </w:rPr>
        <w:fldChar w:fldCharType="end"/>
      </w:r>
      <w:r>
        <w:rPr>
          <w:rStyle w:val="19"/>
          <w:rFonts w:ascii="Book Antiqua" w:hAnsi="Book Antiqua"/>
          <w:b/>
          <w:sz w:val="22"/>
          <w:szCs w:val="22"/>
        </w:rPr>
        <w:t>/licitacao</w:t>
      </w:r>
      <w:r>
        <w:rPr>
          <w:rFonts w:ascii="Book Antiqua" w:hAnsi="Book Antiqua"/>
          <w:b/>
          <w:sz w:val="22"/>
          <w:szCs w:val="22"/>
        </w:rPr>
        <w:t>.</w:t>
      </w:r>
    </w:p>
    <w:p>
      <w:pPr>
        <w:pStyle w:val="83"/>
        <w:widowControl w:val="0"/>
        <w:numPr>
          <w:ilvl w:val="1"/>
          <w:numId w:val="9"/>
        </w:numPr>
        <w:spacing w:after="40"/>
        <w:ind w:left="0" w:firstLine="0"/>
        <w:contextualSpacing w:val="0"/>
        <w:jc w:val="both"/>
        <w:rPr>
          <w:rFonts w:ascii="Book Antiqua" w:hAnsi="Book Antiqua"/>
          <w:sz w:val="22"/>
          <w:szCs w:val="22"/>
        </w:rPr>
      </w:pPr>
      <w:r>
        <w:rPr>
          <w:rFonts w:ascii="Book Antiqua" w:hAnsi="Book Antiqua"/>
          <w:sz w:val="22"/>
          <w:szCs w:val="22"/>
        </w:rPr>
        <w:t>Este Edital deverá ser lido e interpretado na íntegra e, após a apresentação da documentação e da proposta, não serão aceitas alegações de desconhecimento e discordâncias de seus termos.</w:t>
      </w:r>
    </w:p>
    <w:p>
      <w:pPr>
        <w:pStyle w:val="83"/>
        <w:widowControl w:val="0"/>
        <w:numPr>
          <w:ilvl w:val="1"/>
          <w:numId w:val="9"/>
        </w:numPr>
        <w:spacing w:after="40"/>
        <w:ind w:left="0" w:firstLine="0"/>
        <w:contextualSpacing w:val="0"/>
        <w:jc w:val="both"/>
        <w:rPr>
          <w:rFonts w:ascii="Book Antiqua" w:hAnsi="Book Antiqua"/>
          <w:sz w:val="22"/>
          <w:szCs w:val="22"/>
        </w:rPr>
      </w:pPr>
      <w:r>
        <w:rPr>
          <w:rFonts w:ascii="Book Antiqua" w:hAnsi="Book Antiqua"/>
          <w:sz w:val="22"/>
          <w:szCs w:val="22"/>
        </w:rPr>
        <w:t>Quaisquer informações complementares sobre o presente Edital e seus Anexos poderão ser obtidas pelo telefone (69) 3516-2020, ou na sede Prefeitura de Ariquemes/RO.</w:t>
      </w:r>
    </w:p>
    <w:p>
      <w:pPr>
        <w:pStyle w:val="83"/>
        <w:widowControl w:val="0"/>
        <w:numPr>
          <w:ilvl w:val="1"/>
          <w:numId w:val="9"/>
        </w:numPr>
        <w:spacing w:after="40"/>
        <w:ind w:left="0" w:firstLine="0"/>
        <w:contextualSpacing w:val="0"/>
        <w:jc w:val="both"/>
        <w:rPr>
          <w:rFonts w:ascii="Book Antiqua" w:hAnsi="Book Antiqua"/>
          <w:sz w:val="22"/>
          <w:szCs w:val="22"/>
        </w:rPr>
      </w:pPr>
      <w:r>
        <w:rPr>
          <w:rFonts w:ascii="Book Antiqua" w:hAnsi="Book Antiqua" w:eastAsia="ArialMT"/>
          <w:color w:val="000000"/>
          <w:sz w:val="22"/>
          <w:szCs w:val="22"/>
          <w:lang w:bidi="pt-BR"/>
        </w:rPr>
        <w:t>Fica eleito o Foro da Justiça Estadual, Seção Judiciária de Ariquemes do Estado de Rondônia, com exclusão de qualquer outro, por mais privilegiado que seja, para dirimir quaisquer dúvidas ou controvérsias oriundas desta licitação, que não puderem ser solucionadas administrativamente.</w:t>
      </w:r>
    </w:p>
    <w:p>
      <w:pPr>
        <w:pStyle w:val="83"/>
        <w:widowControl w:val="0"/>
        <w:spacing w:after="40"/>
        <w:ind w:left="0"/>
        <w:contextualSpacing w:val="0"/>
        <w:jc w:val="both"/>
        <w:rPr>
          <w:rFonts w:ascii="Book Antiqua" w:hAnsi="Book Antiqua"/>
          <w:sz w:val="22"/>
          <w:szCs w:val="22"/>
        </w:rPr>
      </w:pPr>
    </w:p>
    <w:p>
      <w:pPr>
        <w:pStyle w:val="2"/>
        <w:keepNext w:val="0"/>
        <w:widowControl w:val="0"/>
        <w:numPr>
          <w:ilvl w:val="0"/>
          <w:numId w:val="9"/>
        </w:numPr>
        <w:pBdr>
          <w:top w:val="single" w:color="auto" w:sz="4" w:space="1"/>
          <w:left w:val="single" w:color="auto" w:sz="4" w:space="4"/>
          <w:bottom w:val="single" w:color="auto" w:sz="4" w:space="1"/>
          <w:right w:val="single" w:color="auto" w:sz="4" w:space="4"/>
          <w:between w:val="single" w:color="auto" w:sz="4" w:space="1"/>
        </w:pBdr>
        <w:shd w:val="clear" w:color="auto" w:fill="D8D8D8" w:themeFill="background1" w:themeFillShade="D9"/>
        <w:spacing w:after="120"/>
        <w:ind w:left="0" w:firstLine="0"/>
        <w:jc w:val="both"/>
        <w:rPr>
          <w:rFonts w:ascii="Book Antiqua" w:hAnsi="Book Antiqua"/>
          <w:i w:val="0"/>
          <w:color w:val="0000FF"/>
          <w:sz w:val="22"/>
        </w:rPr>
      </w:pPr>
      <w:r>
        <w:rPr>
          <w:rFonts w:ascii="Book Antiqua" w:hAnsi="Book Antiqua"/>
          <w:i w:val="0"/>
          <w:color w:val="0000FF"/>
          <w:sz w:val="22"/>
        </w:rPr>
        <w:t>ANEXOS</w:t>
      </w:r>
    </w:p>
    <w:p>
      <w:pPr>
        <w:pStyle w:val="83"/>
        <w:widowControl w:val="0"/>
        <w:numPr>
          <w:ilvl w:val="1"/>
          <w:numId w:val="9"/>
        </w:numPr>
        <w:tabs>
          <w:tab w:val="left" w:pos="440"/>
          <w:tab w:val="clear" w:pos="720"/>
        </w:tabs>
        <w:ind w:left="0" w:firstLine="0"/>
        <w:contextualSpacing w:val="0"/>
        <w:jc w:val="both"/>
        <w:rPr>
          <w:rFonts w:ascii="Book Antiqua" w:hAnsi="Book Antiqua"/>
          <w:sz w:val="22"/>
          <w:szCs w:val="22"/>
        </w:rPr>
      </w:pPr>
      <w:r>
        <w:rPr>
          <w:rFonts w:hint="default" w:ascii="Book Antiqua" w:hAnsi="Book Antiqua"/>
          <w:sz w:val="22"/>
          <w:szCs w:val="22"/>
          <w:lang w:val="pt-BR"/>
        </w:rPr>
        <w:t xml:space="preserve"> </w:t>
      </w:r>
      <w:r>
        <w:rPr>
          <w:rFonts w:ascii="Book Antiqua" w:hAnsi="Book Antiqua"/>
          <w:sz w:val="22"/>
          <w:szCs w:val="22"/>
        </w:rPr>
        <w:t>Fazem parte deste instrumento convocatório, como se nele estivessem transcritos, os seguintes documentos:</w:t>
      </w:r>
    </w:p>
    <w:p>
      <w:pPr>
        <w:widowControl w:val="0"/>
        <w:ind w:left="220" w:leftChars="100"/>
        <w:jc w:val="both"/>
        <w:rPr>
          <w:rFonts w:ascii="Book Antiqua" w:hAnsi="Book Antiqua"/>
          <w:b/>
          <w:sz w:val="20"/>
          <w:szCs w:val="20"/>
        </w:rPr>
      </w:pPr>
      <w:r>
        <w:rPr>
          <w:rFonts w:ascii="Book Antiqua" w:hAnsi="Book Antiqua"/>
          <w:sz w:val="20"/>
          <w:szCs w:val="20"/>
        </w:rPr>
        <w:t xml:space="preserve">ANEXO I:   </w:t>
      </w:r>
      <w:r>
        <w:rPr>
          <w:rFonts w:ascii="Book Antiqua" w:hAnsi="Book Antiqua"/>
          <w:b/>
          <w:sz w:val="20"/>
          <w:szCs w:val="20"/>
        </w:rPr>
        <w:t>TERMO DE REFERÊNCIA;</w:t>
      </w:r>
    </w:p>
    <w:p>
      <w:pPr>
        <w:widowControl w:val="0"/>
        <w:ind w:left="220" w:leftChars="100"/>
        <w:jc w:val="both"/>
        <w:rPr>
          <w:rFonts w:ascii="Book Antiqua" w:hAnsi="Book Antiqua"/>
          <w:sz w:val="20"/>
          <w:szCs w:val="20"/>
        </w:rPr>
      </w:pPr>
      <w:r>
        <w:rPr>
          <w:rFonts w:ascii="Book Antiqua" w:hAnsi="Book Antiqua"/>
          <w:sz w:val="20"/>
          <w:szCs w:val="20"/>
        </w:rPr>
        <w:t xml:space="preserve">ANEXO II:  </w:t>
      </w:r>
      <w:r>
        <w:rPr>
          <w:rFonts w:ascii="Book Antiqua" w:hAnsi="Book Antiqua"/>
          <w:b/>
          <w:sz w:val="20"/>
          <w:szCs w:val="20"/>
        </w:rPr>
        <w:t>MODELO DA PROPOSTA COMERCIAL (PREÇOS);</w:t>
      </w:r>
    </w:p>
    <w:p>
      <w:pPr>
        <w:pStyle w:val="32"/>
        <w:widowControl w:val="0"/>
        <w:spacing w:after="0"/>
        <w:ind w:left="220" w:leftChars="100"/>
        <w:jc w:val="both"/>
        <w:rPr>
          <w:rFonts w:ascii="Book Antiqua" w:hAnsi="Book Antiqua"/>
          <w:b w:val="0"/>
          <w:color w:val="000000" w:themeColor="text1"/>
          <w:sz w:val="20"/>
          <w:szCs w:val="20"/>
        </w:rPr>
      </w:pPr>
      <w:r>
        <w:rPr>
          <w:rFonts w:ascii="Book Antiqua" w:hAnsi="Book Antiqua"/>
          <w:b w:val="0"/>
          <w:color w:val="000000" w:themeColor="text1"/>
          <w:sz w:val="20"/>
          <w:szCs w:val="20"/>
        </w:rPr>
        <w:t xml:space="preserve">ANEXO III: </w:t>
      </w:r>
      <w:r>
        <w:rPr>
          <w:rFonts w:ascii="Book Antiqua" w:hAnsi="Book Antiqua"/>
          <w:color w:val="000000" w:themeColor="text1"/>
          <w:sz w:val="20"/>
          <w:szCs w:val="20"/>
        </w:rPr>
        <w:t>DECLARAÇÃO DE AUTENTICIDADE;</w:t>
      </w:r>
    </w:p>
    <w:p>
      <w:pPr>
        <w:pStyle w:val="32"/>
        <w:widowControl w:val="0"/>
        <w:spacing w:after="0"/>
        <w:ind w:left="220" w:leftChars="100"/>
        <w:jc w:val="both"/>
        <w:rPr>
          <w:rFonts w:ascii="Book Antiqua" w:hAnsi="Book Antiqua"/>
          <w:b w:val="0"/>
          <w:color w:val="000000" w:themeColor="text1"/>
          <w:sz w:val="20"/>
          <w:szCs w:val="20"/>
        </w:rPr>
      </w:pPr>
      <w:r>
        <w:rPr>
          <w:rFonts w:ascii="Book Antiqua" w:hAnsi="Book Antiqua"/>
          <w:b w:val="0"/>
          <w:color w:val="000000" w:themeColor="text1"/>
          <w:sz w:val="20"/>
          <w:szCs w:val="20"/>
        </w:rPr>
        <w:t xml:space="preserve">ANEXO IV: </w:t>
      </w:r>
      <w:r>
        <w:rPr>
          <w:rFonts w:ascii="Book Antiqua" w:hAnsi="Book Antiqua"/>
          <w:color w:val="000000" w:themeColor="text1"/>
          <w:sz w:val="20"/>
          <w:szCs w:val="20"/>
        </w:rPr>
        <w:t>DECLARAÇÃO DE SUSTENTABILIDADE AMBIENTAL;</w:t>
      </w:r>
    </w:p>
    <w:p>
      <w:pPr>
        <w:widowControl w:val="0"/>
        <w:ind w:left="220" w:leftChars="100"/>
        <w:jc w:val="both"/>
        <w:rPr>
          <w:rFonts w:ascii="Book Antiqua" w:hAnsi="Book Antiqua"/>
          <w:b/>
          <w:sz w:val="20"/>
          <w:szCs w:val="20"/>
        </w:rPr>
      </w:pPr>
      <w:r>
        <w:rPr>
          <w:rFonts w:ascii="Book Antiqua" w:hAnsi="Book Antiqua"/>
          <w:sz w:val="20"/>
          <w:szCs w:val="20"/>
        </w:rPr>
        <w:t xml:space="preserve">ANEXO V:  </w:t>
      </w:r>
      <w:r>
        <w:rPr>
          <w:rFonts w:ascii="Book Antiqua" w:hAnsi="Book Antiqua"/>
          <w:b/>
          <w:sz w:val="20"/>
          <w:szCs w:val="20"/>
        </w:rPr>
        <w:t>MODELO DE ATESTADO DE CAPACIDADE TÉCNICA;</w:t>
      </w:r>
    </w:p>
    <w:p>
      <w:pPr>
        <w:widowControl w:val="0"/>
        <w:ind w:left="220" w:leftChars="100"/>
        <w:jc w:val="both"/>
        <w:rPr>
          <w:rFonts w:ascii="Book Antiqua" w:hAnsi="Book Antiqua"/>
          <w:b/>
          <w:sz w:val="20"/>
          <w:szCs w:val="20"/>
        </w:rPr>
      </w:pPr>
      <w:r>
        <w:rPr>
          <w:rFonts w:ascii="Book Antiqua" w:hAnsi="Book Antiqua"/>
          <w:sz w:val="20"/>
          <w:szCs w:val="20"/>
        </w:rPr>
        <w:t>ANEXO VI:</w:t>
      </w:r>
      <w:r>
        <w:rPr>
          <w:rFonts w:ascii="Book Antiqua" w:hAnsi="Book Antiqua"/>
          <w:b/>
          <w:sz w:val="20"/>
          <w:szCs w:val="20"/>
        </w:rPr>
        <w:t xml:space="preserve"> MINUTA DO CONTRATO</w:t>
      </w:r>
    </w:p>
    <w:p>
      <w:pPr>
        <w:pStyle w:val="128"/>
        <w:ind w:left="220" w:leftChars="100"/>
        <w:jc w:val="both"/>
        <w:rPr>
          <w:rFonts w:ascii="Book Antiqua" w:hAnsi="Book Antiqua" w:cs="Book Antiqua"/>
          <w:b/>
          <w:bCs/>
          <w:sz w:val="20"/>
          <w:szCs w:val="20"/>
        </w:rPr>
      </w:pPr>
      <w:r>
        <w:rPr>
          <w:rFonts w:ascii="Book Antiqua" w:hAnsi="Book Antiqua" w:cs="Book Antiqua"/>
          <w:sz w:val="20"/>
          <w:szCs w:val="20"/>
        </w:rPr>
        <w:t xml:space="preserve">ANEXO VII: </w:t>
      </w:r>
      <w:r>
        <w:rPr>
          <w:rFonts w:ascii="Book Antiqua" w:hAnsi="Book Antiqua" w:cs="Book Antiqua"/>
          <w:b/>
          <w:bCs/>
          <w:sz w:val="20"/>
          <w:szCs w:val="20"/>
        </w:rPr>
        <w:t>TERMO DE CONCORDÂNCIA E VERACIDADE (Cadastro de Usuários Externos no ePROC)</w:t>
      </w:r>
    </w:p>
    <w:p>
      <w:pPr>
        <w:widowControl w:val="0"/>
        <w:ind w:left="567"/>
        <w:jc w:val="both"/>
        <w:rPr>
          <w:rFonts w:ascii="Book Antiqua" w:hAnsi="Book Antiqua"/>
          <w:b/>
          <w:szCs w:val="20"/>
        </w:rPr>
      </w:pPr>
    </w:p>
    <w:p>
      <w:pPr>
        <w:pStyle w:val="32"/>
        <w:widowControl w:val="0"/>
        <w:spacing w:after="0"/>
        <w:ind w:left="567"/>
        <w:jc w:val="right"/>
        <w:rPr>
          <w:rFonts w:ascii="Book Antiqua" w:hAnsi="Book Antiqua"/>
          <w:b w:val="0"/>
          <w:color w:val="000000" w:themeColor="text1"/>
          <w:sz w:val="22"/>
        </w:rPr>
      </w:pPr>
    </w:p>
    <w:p>
      <w:pPr>
        <w:pStyle w:val="32"/>
        <w:widowControl w:val="0"/>
        <w:spacing w:after="0"/>
        <w:ind w:left="567"/>
        <w:jc w:val="right"/>
        <w:rPr>
          <w:rFonts w:ascii="Book Antiqua" w:hAnsi="Book Antiqua"/>
          <w:b w:val="0"/>
          <w:bCs/>
          <w:color w:val="000000" w:themeColor="text1"/>
          <w:sz w:val="22"/>
          <w:szCs w:val="28"/>
        </w:rPr>
      </w:pPr>
      <w:r>
        <w:rPr>
          <w:rFonts w:ascii="Book Antiqua" w:hAnsi="Book Antiqua"/>
          <w:b w:val="0"/>
          <w:color w:val="000000" w:themeColor="text1"/>
          <w:sz w:val="24"/>
          <w:szCs w:val="24"/>
        </w:rPr>
        <w:t xml:space="preserve"> </w:t>
      </w:r>
      <w:r>
        <w:rPr>
          <w:rFonts w:ascii="Book Antiqua" w:hAnsi="Book Antiqua"/>
          <w:b w:val="0"/>
          <w:bCs/>
          <w:color w:val="000000" w:themeColor="text1"/>
          <w:sz w:val="22"/>
          <w:szCs w:val="28"/>
        </w:rPr>
        <w:t xml:space="preserve">Ariquemes - RO, </w:t>
      </w:r>
      <w:r>
        <w:rPr>
          <w:rFonts w:hint="default" w:ascii="Book Antiqua" w:hAnsi="Book Antiqua"/>
          <w:b w:val="0"/>
          <w:bCs/>
          <w:color w:val="000000" w:themeColor="text1"/>
          <w:sz w:val="22"/>
          <w:szCs w:val="28"/>
          <w:lang w:val="pt-BR"/>
        </w:rPr>
        <w:t>09</w:t>
      </w:r>
      <w:r>
        <w:rPr>
          <w:rFonts w:ascii="Book Antiqua" w:hAnsi="Book Antiqua"/>
          <w:b w:val="0"/>
          <w:bCs/>
          <w:color w:val="000000" w:themeColor="text1"/>
          <w:sz w:val="22"/>
          <w:szCs w:val="28"/>
        </w:rPr>
        <w:t xml:space="preserve"> de </w:t>
      </w:r>
      <w:r>
        <w:rPr>
          <w:rFonts w:hint="default" w:ascii="Book Antiqua" w:hAnsi="Book Antiqua"/>
          <w:b w:val="0"/>
          <w:bCs/>
          <w:color w:val="000000" w:themeColor="text1"/>
          <w:sz w:val="22"/>
          <w:szCs w:val="28"/>
          <w:lang w:val="pt-BR"/>
        </w:rPr>
        <w:t>dezembro</w:t>
      </w:r>
      <w:r>
        <w:rPr>
          <w:rFonts w:ascii="Book Antiqua" w:hAnsi="Book Antiqua"/>
          <w:b w:val="0"/>
          <w:bCs/>
          <w:color w:val="000000" w:themeColor="text1"/>
          <w:sz w:val="22"/>
          <w:szCs w:val="28"/>
        </w:rPr>
        <w:t xml:space="preserve"> de 2021.</w:t>
      </w:r>
    </w:p>
    <w:p>
      <w:pPr>
        <w:widowControl w:val="0"/>
        <w:autoSpaceDE w:val="0"/>
        <w:autoSpaceDN w:val="0"/>
        <w:adjustRightInd w:val="0"/>
        <w:jc w:val="both"/>
        <w:rPr>
          <w:rFonts w:ascii="Book Antiqua" w:hAnsi="Book Antiqua"/>
          <w:bCs/>
          <w:i/>
          <w:color w:val="000000" w:themeColor="text1"/>
          <w:sz w:val="18"/>
          <w:szCs w:val="18"/>
        </w:rPr>
      </w:pPr>
    </w:p>
    <w:p>
      <w:pPr>
        <w:widowControl w:val="0"/>
        <w:autoSpaceDE w:val="0"/>
        <w:autoSpaceDN w:val="0"/>
        <w:adjustRightInd w:val="0"/>
        <w:jc w:val="both"/>
        <w:rPr>
          <w:rFonts w:ascii="Book Antiqua" w:hAnsi="Book Antiqua"/>
          <w:bCs/>
          <w:i/>
          <w:color w:val="000000" w:themeColor="text1"/>
          <w:sz w:val="18"/>
          <w:szCs w:val="18"/>
        </w:rPr>
      </w:pPr>
    </w:p>
    <w:p>
      <w:pPr>
        <w:widowControl w:val="0"/>
        <w:autoSpaceDE w:val="0"/>
        <w:autoSpaceDN w:val="0"/>
        <w:adjustRightInd w:val="0"/>
        <w:jc w:val="both"/>
        <w:rPr>
          <w:rFonts w:ascii="Book Antiqua" w:hAnsi="Book Antiqua"/>
          <w:bCs/>
          <w:i/>
          <w:color w:val="000000" w:themeColor="text1"/>
          <w:sz w:val="18"/>
          <w:szCs w:val="18"/>
        </w:rPr>
      </w:pPr>
    </w:p>
    <w:p>
      <w:pPr>
        <w:widowControl w:val="0"/>
        <w:autoSpaceDE w:val="0"/>
        <w:autoSpaceDN w:val="0"/>
        <w:adjustRightInd w:val="0"/>
        <w:jc w:val="both"/>
        <w:rPr>
          <w:rFonts w:ascii="Book Antiqua" w:hAnsi="Book Antiqua"/>
          <w:bCs/>
          <w:i/>
          <w:color w:val="000000" w:themeColor="text1"/>
          <w:sz w:val="18"/>
          <w:szCs w:val="18"/>
        </w:rPr>
      </w:pPr>
    </w:p>
    <w:p>
      <w:pPr>
        <w:widowControl w:val="0"/>
        <w:autoSpaceDE w:val="0"/>
        <w:autoSpaceDN w:val="0"/>
        <w:adjustRightInd w:val="0"/>
        <w:jc w:val="center"/>
        <w:rPr>
          <w:rFonts w:ascii="Book Antiqua" w:hAnsi="Book Antiqua"/>
          <w:b/>
          <w:bCs/>
          <w:color w:val="000000" w:themeColor="text1"/>
        </w:rPr>
      </w:pPr>
      <w:r>
        <w:rPr>
          <w:rFonts w:ascii="Book Antiqua" w:hAnsi="Book Antiqua"/>
          <w:b/>
          <w:bCs/>
          <w:color w:val="000000" w:themeColor="text1"/>
        </w:rPr>
        <w:t>Jonhison José Andrade</w:t>
      </w:r>
    </w:p>
    <w:p>
      <w:pPr>
        <w:widowControl w:val="0"/>
        <w:autoSpaceDE w:val="0"/>
        <w:autoSpaceDN w:val="0"/>
        <w:adjustRightInd w:val="0"/>
        <w:jc w:val="center"/>
        <w:rPr>
          <w:rFonts w:ascii="Book Antiqua" w:hAnsi="Book Antiqua"/>
          <w:b/>
          <w:bCs/>
          <w:iCs/>
          <w:color w:val="000000" w:themeColor="text1"/>
          <w:sz w:val="18"/>
          <w:szCs w:val="18"/>
        </w:rPr>
      </w:pPr>
      <w:r>
        <w:rPr>
          <w:rFonts w:ascii="Book Antiqua" w:hAnsi="Book Antiqua"/>
          <w:b/>
          <w:bCs/>
          <w:iCs/>
          <w:color w:val="000000" w:themeColor="text1"/>
          <w:sz w:val="18"/>
          <w:szCs w:val="18"/>
        </w:rPr>
        <w:t>Pregoeiro / PMA</w:t>
      </w:r>
    </w:p>
    <w:p>
      <w:pPr>
        <w:widowControl w:val="0"/>
        <w:autoSpaceDE w:val="0"/>
        <w:autoSpaceDN w:val="0"/>
        <w:adjustRightInd w:val="0"/>
        <w:jc w:val="center"/>
        <w:rPr>
          <w:rFonts w:ascii="Book Antiqua" w:hAnsi="Book Antiqua"/>
          <w:iCs/>
          <w:color w:val="000000" w:themeColor="text1"/>
          <w:sz w:val="18"/>
          <w:szCs w:val="18"/>
        </w:rPr>
      </w:pPr>
      <w:r>
        <w:rPr>
          <w:rFonts w:ascii="Book Antiqua" w:hAnsi="Book Antiqua"/>
          <w:iCs/>
          <w:color w:val="000000" w:themeColor="text1"/>
          <w:sz w:val="18"/>
          <w:szCs w:val="18"/>
        </w:rPr>
        <w:t>Decreto nº 17.118/2021</w:t>
      </w:r>
    </w:p>
    <w:p>
      <w:pPr>
        <w:widowControl w:val="0"/>
        <w:autoSpaceDE w:val="0"/>
        <w:autoSpaceDN w:val="0"/>
        <w:adjustRightInd w:val="0"/>
        <w:jc w:val="center"/>
        <w:rPr>
          <w:rFonts w:ascii="Book Antiqua" w:hAnsi="Book Antiqua"/>
          <w:iCs/>
          <w:color w:val="000000" w:themeColor="text1"/>
          <w:sz w:val="18"/>
          <w:szCs w:val="18"/>
        </w:rPr>
      </w:pPr>
    </w:p>
    <w:p>
      <w:pPr>
        <w:widowControl w:val="0"/>
        <w:autoSpaceDE w:val="0"/>
        <w:autoSpaceDN w:val="0"/>
        <w:adjustRightInd w:val="0"/>
        <w:jc w:val="center"/>
        <w:rPr>
          <w:rFonts w:ascii="Book Antiqua" w:hAnsi="Book Antiqua"/>
          <w:iCs/>
          <w:color w:val="000000" w:themeColor="text1"/>
          <w:sz w:val="18"/>
          <w:szCs w:val="18"/>
        </w:rPr>
      </w:pPr>
    </w:p>
    <w:p>
      <w:pPr>
        <w:widowControl w:val="0"/>
        <w:autoSpaceDE w:val="0"/>
        <w:autoSpaceDN w:val="0"/>
        <w:adjustRightInd w:val="0"/>
        <w:jc w:val="center"/>
        <w:rPr>
          <w:rFonts w:ascii="Book Antiqua" w:hAnsi="Book Antiqua"/>
          <w:iCs/>
          <w:color w:val="000000" w:themeColor="text1"/>
          <w:sz w:val="18"/>
          <w:szCs w:val="18"/>
        </w:rPr>
      </w:pPr>
    </w:p>
    <w:p>
      <w:pPr>
        <w:widowControl w:val="0"/>
        <w:autoSpaceDE w:val="0"/>
        <w:autoSpaceDN w:val="0"/>
        <w:adjustRightInd w:val="0"/>
        <w:jc w:val="center"/>
        <w:rPr>
          <w:rFonts w:ascii="Book Antiqua" w:hAnsi="Book Antiqua"/>
          <w:iCs/>
          <w:color w:val="000000" w:themeColor="text1"/>
          <w:sz w:val="18"/>
          <w:szCs w:val="18"/>
        </w:rPr>
      </w:pPr>
    </w:p>
    <w:p>
      <w:pPr>
        <w:widowControl w:val="0"/>
        <w:autoSpaceDE w:val="0"/>
        <w:autoSpaceDN w:val="0"/>
        <w:adjustRightInd w:val="0"/>
        <w:jc w:val="center"/>
        <w:rPr>
          <w:rFonts w:ascii="Book Antiqua" w:hAnsi="Book Antiqua"/>
          <w:iCs/>
          <w:color w:val="000000" w:themeColor="text1"/>
          <w:sz w:val="18"/>
          <w:szCs w:val="18"/>
        </w:rPr>
      </w:pPr>
    </w:p>
    <w:p>
      <w:pPr>
        <w:widowControl w:val="0"/>
        <w:autoSpaceDE w:val="0"/>
        <w:autoSpaceDN w:val="0"/>
        <w:adjustRightInd w:val="0"/>
        <w:jc w:val="center"/>
        <w:rPr>
          <w:rFonts w:ascii="Book Antiqua" w:hAnsi="Book Antiqua"/>
          <w:iCs/>
          <w:color w:val="000000" w:themeColor="text1"/>
          <w:sz w:val="18"/>
          <w:szCs w:val="18"/>
        </w:rPr>
      </w:pPr>
    </w:p>
    <w:p>
      <w:pPr>
        <w:widowControl w:val="0"/>
        <w:pBdr>
          <w:top w:val="single" w:color="auto" w:sz="4" w:space="1"/>
          <w:left w:val="single" w:color="auto" w:sz="4" w:space="4"/>
          <w:bottom w:val="single" w:color="auto" w:sz="4" w:space="1"/>
          <w:right w:val="single" w:color="auto" w:sz="4" w:space="4"/>
        </w:pBdr>
        <w:shd w:val="clear" w:color="auto" w:fill="CCCCCC"/>
        <w:autoSpaceDE w:val="0"/>
        <w:autoSpaceDN w:val="0"/>
        <w:adjustRightInd w:val="0"/>
        <w:spacing w:after="120"/>
        <w:jc w:val="center"/>
        <w:rPr>
          <w:rFonts w:ascii="Book Antiqua" w:hAnsi="Book Antiqua"/>
          <w:b/>
          <w:color w:val="0000FF"/>
          <w:sz w:val="24"/>
          <w:szCs w:val="24"/>
        </w:rPr>
      </w:pPr>
      <w:r>
        <w:rPr>
          <w:rFonts w:ascii="Book Antiqua" w:hAnsi="Book Antiqua"/>
          <w:b/>
          <w:color w:val="0000FF"/>
          <w:sz w:val="24"/>
          <w:szCs w:val="24"/>
        </w:rPr>
        <w:t xml:space="preserve">PREGÃO ELETRÔNICO N.º </w:t>
      </w:r>
      <w:r>
        <w:rPr>
          <w:rFonts w:ascii="Book Antiqua" w:hAnsi="Book Antiqua"/>
          <w:b/>
          <w:color w:val="0000FF"/>
          <w:sz w:val="24"/>
          <w:szCs w:val="24"/>
        </w:rPr>
        <w:fldChar w:fldCharType="begin"/>
      </w:r>
      <w:r>
        <w:rPr>
          <w:rFonts w:ascii="Book Antiqua" w:hAnsi="Book Antiqua"/>
          <w:b/>
          <w:color w:val="0000FF"/>
          <w:sz w:val="24"/>
          <w:szCs w:val="24"/>
        </w:rPr>
        <w:instrText xml:space="preserve"> MERGEFIELD Nº_PREGÃO </w:instrText>
      </w:r>
      <w:r>
        <w:rPr>
          <w:rFonts w:ascii="Book Antiqua" w:hAnsi="Book Antiqua"/>
          <w:b/>
          <w:color w:val="0000FF"/>
          <w:sz w:val="24"/>
          <w:szCs w:val="24"/>
        </w:rPr>
        <w:fldChar w:fldCharType="separate"/>
      </w:r>
      <w:r>
        <w:rPr>
          <w:rFonts w:hint="default" w:ascii="Book Antiqua" w:hAnsi="Book Antiqua"/>
          <w:b/>
          <w:color w:val="0000FF"/>
          <w:sz w:val="24"/>
          <w:szCs w:val="24"/>
          <w:lang w:val="pt-BR"/>
        </w:rPr>
        <w:t>168</w:t>
      </w:r>
      <w:r>
        <w:rPr>
          <w:rFonts w:ascii="Book Antiqua" w:hAnsi="Book Antiqua"/>
          <w:b/>
          <w:color w:val="0000FF"/>
          <w:sz w:val="24"/>
          <w:szCs w:val="24"/>
        </w:rPr>
        <w:t>/2021/SML/PMA</w:t>
      </w:r>
      <w:r>
        <w:rPr>
          <w:rFonts w:ascii="Book Antiqua" w:hAnsi="Book Antiqua"/>
          <w:b/>
          <w:color w:val="0000FF"/>
          <w:sz w:val="24"/>
          <w:szCs w:val="24"/>
        </w:rPr>
        <w:fldChar w:fldCharType="end"/>
      </w:r>
    </w:p>
    <w:p>
      <w:pPr>
        <w:widowControl w:val="0"/>
        <w:jc w:val="center"/>
        <w:rPr>
          <w:b/>
        </w:rPr>
      </w:pPr>
    </w:p>
    <w:p>
      <w:pPr>
        <w:widowControl w:val="0"/>
        <w:jc w:val="center"/>
        <w:rPr>
          <w:rFonts w:ascii="Book Antiqua" w:hAnsi="Book Antiqua"/>
          <w:b/>
          <w:sz w:val="24"/>
          <w:highlight w:val="yellow"/>
        </w:rPr>
      </w:pPr>
      <w:r>
        <w:rPr>
          <w:rFonts w:ascii="Book Antiqua" w:hAnsi="Book Antiqua"/>
          <w:b/>
          <w:sz w:val="24"/>
          <w:highlight w:val="yellow"/>
        </w:rPr>
        <w:t>ANEXO I - TERMO DE REFERÊNCIA</w:t>
      </w:r>
    </w:p>
    <w:p>
      <w:pPr>
        <w:widowControl w:val="0"/>
        <w:jc w:val="center"/>
        <w:rPr>
          <w:rFonts w:ascii="Book Antiqua" w:hAnsi="Book Antiqua"/>
          <w:b/>
          <w:sz w:val="24"/>
          <w:highlight w:val="yellow"/>
        </w:rPr>
      </w:pPr>
    </w:p>
    <w:p>
      <w:pPr>
        <w:keepNext w:val="0"/>
        <w:keepLines w:val="0"/>
        <w:widowControl/>
        <w:suppressLineNumbers w:val="0"/>
        <w:shd w:val="clear" w:fill="FFFFFF"/>
        <w:ind w:left="0" w:firstLine="0"/>
        <w:jc w:val="center"/>
        <w:rPr>
          <w:rFonts w:hint="default" w:ascii="Arial" w:hAnsi="Arial" w:cs="Arial"/>
          <w:b w:val="0"/>
          <w:bCs w:val="0"/>
          <w:i w:val="0"/>
          <w:iCs w:val="0"/>
          <w:caps w:val="0"/>
          <w:color w:val="000000"/>
          <w:spacing w:val="0"/>
          <w:sz w:val="24"/>
          <w:szCs w:val="24"/>
          <w:lang w:val="pt-BR"/>
        </w:rPr>
      </w:pPr>
      <w:r>
        <w:rPr>
          <w:rStyle w:val="14"/>
          <w:rFonts w:hint="default" w:ascii="Arial" w:hAnsi="Arial" w:eastAsia="SimSun" w:cs="Arial"/>
          <w:i w:val="0"/>
          <w:iCs w:val="0"/>
          <w:caps w:val="0"/>
          <w:color w:val="000000"/>
          <w:spacing w:val="0"/>
          <w:kern w:val="0"/>
          <w:sz w:val="24"/>
          <w:szCs w:val="24"/>
          <w:shd w:val="clear" w:fill="FFFFFF"/>
          <w:lang w:val="en-US" w:eastAsia="zh-CN" w:bidi="ar"/>
        </w:rPr>
        <w:t>PROCESSO Nº </w:t>
      </w:r>
      <w:r>
        <w:rPr>
          <w:rStyle w:val="14"/>
          <w:rFonts w:hint="default" w:ascii="Arial" w:hAnsi="Arial" w:eastAsia="SimSun" w:cs="Arial"/>
          <w:i w:val="0"/>
          <w:iCs w:val="0"/>
          <w:caps w:val="0"/>
          <w:spacing w:val="0"/>
          <w:kern w:val="0"/>
          <w:sz w:val="24"/>
          <w:szCs w:val="24"/>
          <w:shd w:val="clear" w:fill="FFFFFF"/>
          <w:lang w:val="pt-BR" w:eastAsia="zh-CN" w:bidi="ar"/>
        </w:rPr>
        <w:t xml:space="preserve">2883/2021 </w:t>
      </w:r>
      <w:r>
        <w:rPr>
          <w:rStyle w:val="14"/>
          <w:rFonts w:hint="default" w:ascii="Arial" w:hAnsi="Arial" w:eastAsia="SimSun" w:cs="Arial"/>
          <w:b w:val="0"/>
          <w:bCs w:val="0"/>
          <w:i w:val="0"/>
          <w:iCs w:val="0"/>
          <w:caps w:val="0"/>
          <w:spacing w:val="0"/>
          <w:kern w:val="0"/>
          <w:sz w:val="24"/>
          <w:szCs w:val="24"/>
          <w:shd w:val="clear" w:fill="FFFFFF"/>
          <w:lang w:val="pt-BR" w:eastAsia="zh-CN" w:bidi="ar"/>
        </w:rPr>
        <w:t>(ID 640848)</w:t>
      </w:r>
    </w:p>
    <w:p>
      <w:pPr>
        <w:keepNext w:val="0"/>
        <w:keepLines w:val="0"/>
        <w:widowControl/>
        <w:suppressLineNumbers w:val="0"/>
        <w:shd w:val="clear" w:fill="FFFFFF"/>
        <w:ind w:left="0" w:firstLine="0"/>
        <w:jc w:val="center"/>
        <w:rPr>
          <w:rFonts w:hint="default" w:ascii="Arial" w:hAnsi="Arial" w:cs="Arial"/>
          <w:i w:val="0"/>
          <w:iCs w:val="0"/>
          <w:caps w:val="0"/>
          <w:color w:val="000000"/>
          <w:spacing w:val="0"/>
          <w:sz w:val="24"/>
          <w:szCs w:val="24"/>
        </w:rPr>
      </w:pPr>
    </w:p>
    <w:p>
      <w:pPr>
        <w:keepNext w:val="0"/>
        <w:keepLines w:val="0"/>
        <w:widowControl/>
        <w:suppressLineNumbers w:val="0"/>
        <w:shd w:val="clear" w:fill="FFFFFF"/>
        <w:ind w:left="0" w:firstLine="0"/>
        <w:jc w:val="center"/>
        <w:rPr>
          <w:rFonts w:ascii="Arial" w:hAnsi="Arial" w:cs="Arial"/>
          <w:i w:val="0"/>
          <w:iCs w:val="0"/>
          <w:caps w:val="0"/>
          <w:color w:val="000000"/>
          <w:spacing w:val="0"/>
          <w:sz w:val="24"/>
          <w:szCs w:val="24"/>
        </w:rPr>
      </w:pPr>
      <w:r>
        <w:rPr>
          <w:rStyle w:val="14"/>
          <w:rFonts w:hint="default" w:ascii="Arial" w:hAnsi="Arial" w:eastAsia="SimSun" w:cs="Arial"/>
          <w:i w:val="0"/>
          <w:iCs w:val="0"/>
          <w:caps w:val="0"/>
          <w:color w:val="000000"/>
          <w:spacing w:val="0"/>
          <w:kern w:val="0"/>
          <w:sz w:val="24"/>
          <w:szCs w:val="24"/>
          <w:shd w:val="clear" w:fill="FFFFFF"/>
          <w:lang w:val="en-US" w:eastAsia="zh-CN" w:bidi="ar"/>
        </w:rPr>
        <w:t> </w:t>
      </w:r>
    </w:p>
    <w:p>
      <w:pPr>
        <w:pStyle w:val="29"/>
        <w:keepNext w:val="0"/>
        <w:keepLines w:val="0"/>
        <w:widowControl/>
        <w:suppressLineNumbers w:val="0"/>
        <w:bidi w:val="0"/>
        <w:spacing w:before="0" w:beforeAutospacing="0" w:after="0" w:afterAutospacing="0" w:line="15" w:lineRule="atLeast"/>
        <w:ind w:left="0" w:right="0"/>
        <w:jc w:val="both"/>
      </w:pPr>
      <w:r>
        <w:rPr>
          <w:rFonts w:ascii="Arial" w:hAnsi="Arial" w:cs="Arial"/>
          <w:b/>
          <w:bCs/>
          <w:i w:val="0"/>
          <w:iCs w:val="0"/>
          <w:caps w:val="0"/>
          <w:color w:val="000000"/>
          <w:spacing w:val="0"/>
          <w:sz w:val="24"/>
          <w:szCs w:val="24"/>
          <w:shd w:val="clear" w:fill="FFFFFF"/>
          <w:vertAlign w:val="baseline"/>
        </w:rPr>
        <w:t>1. INTRODUÇÃO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 xml:space="preserve">1.1 </w:t>
      </w:r>
      <w:r>
        <w:rPr>
          <w:rFonts w:hint="default" w:ascii="Arial" w:hAnsi="Arial" w:cs="Arial"/>
          <w:i w:val="0"/>
          <w:iCs w:val="0"/>
          <w:caps w:val="0"/>
          <w:color w:val="000000"/>
          <w:spacing w:val="0"/>
          <w:sz w:val="24"/>
          <w:szCs w:val="24"/>
          <w:shd w:val="clear" w:fill="FFFFFF"/>
          <w:vertAlign w:val="baseline"/>
        </w:rPr>
        <w:t>Elaboramos o presente Termo de Referência, em cumprimento ao disposto no Decreto Municipal nº 15.792 de 10 de Outubro de 2019, em atendimento ao art. 9º da Lei Federal nº 8.666, de 21 de junho de 1.993 e alterações, para licitações e contratos  e nos termos da Lei nº 10.520, de 17 de julho de 2002, para Abertura de Processo para</w:t>
      </w:r>
      <w:r>
        <w:rPr>
          <w:rFonts w:hint="default" w:ascii="Arial" w:hAnsi="Arial" w:cs="Arial"/>
          <w:b/>
          <w:bCs/>
          <w:i w:val="0"/>
          <w:iCs w:val="0"/>
          <w:caps w:val="0"/>
          <w:color w:val="000000"/>
          <w:spacing w:val="0"/>
          <w:sz w:val="24"/>
          <w:szCs w:val="24"/>
          <w:shd w:val="clear" w:fill="FFFFFF"/>
          <w:vertAlign w:val="baseline"/>
        </w:rPr>
        <w:t xml:space="preserve"> CONTRATAÇÃO DE EMPRESA ESPECIALIZADA NA PRESTAÇÃO DE SERVIÇOS DE SEGURO TOTAL PARA VEÍCULOS LEVES E PESADOS, visando atender as necessidades da Secretaria Municipal de Desenvolvimento Social - SEMDES</w:t>
      </w:r>
      <w:r>
        <w:rPr>
          <w:rFonts w:hint="default" w:ascii="Arial" w:hAnsi="Arial" w:cs="Arial"/>
          <w:i w:val="0"/>
          <w:iCs w:val="0"/>
          <w:caps w:val="0"/>
          <w:color w:val="000000"/>
          <w:spacing w:val="0"/>
          <w:sz w:val="24"/>
          <w:szCs w:val="24"/>
          <w:shd w:val="clear" w:fill="FFFFFF"/>
          <w:vertAlign w:val="baseline"/>
        </w:rPr>
        <w:t xml:space="preserve"> do município de Ariquemes. Através de procedimento licitatório, selecionar empresa que atue no ramo, para atender a Administração Pública Municipal Direta e Indireta, proporcionando maior competitividade, com consequente economia para a Administração e agilidade quando da necessidade de fazer a contratação do serviço em questão.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2. IDENTIFICAÇÃO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 xml:space="preserve">2.1 Unidade Orçamentária: </w:t>
      </w:r>
      <w:r>
        <w:rPr>
          <w:rFonts w:hint="default" w:ascii="Arial" w:hAnsi="Arial" w:cs="Arial"/>
          <w:i w:val="0"/>
          <w:iCs w:val="0"/>
          <w:caps w:val="0"/>
          <w:color w:val="000000"/>
          <w:spacing w:val="0"/>
          <w:sz w:val="24"/>
          <w:szCs w:val="24"/>
          <w:shd w:val="clear" w:fill="FFFFFF"/>
          <w:vertAlign w:val="baseline"/>
        </w:rPr>
        <w:t>Fundo Municipal de Assistência Social - FMAS.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 xml:space="preserve">2.2 Unidade Requisitante: </w:t>
      </w:r>
      <w:r>
        <w:rPr>
          <w:rFonts w:hint="default" w:ascii="Arial" w:hAnsi="Arial" w:cs="Arial"/>
          <w:i w:val="0"/>
          <w:iCs w:val="0"/>
          <w:caps w:val="0"/>
          <w:color w:val="000000"/>
          <w:spacing w:val="0"/>
          <w:sz w:val="24"/>
          <w:szCs w:val="24"/>
          <w:shd w:val="clear" w:fill="FFFFFF"/>
          <w:vertAlign w:val="baseline"/>
        </w:rPr>
        <w:t>Secretaria Municipal de Desenvolvimento Social - SEMDES.</w:t>
      </w:r>
    </w:p>
    <w:p>
      <w:pPr>
        <w:pStyle w:val="5"/>
        <w:keepNext w:val="0"/>
        <w:keepLines w:val="0"/>
        <w:widowControl/>
        <w:suppressLineNumbers w:val="0"/>
        <w:bidi w:val="0"/>
        <w:spacing w:before="0" w:beforeAutospacing="0" w:after="0" w:afterAutospacing="0" w:line="15" w:lineRule="atLeast"/>
        <w:jc w:val="both"/>
      </w:pPr>
      <w:r>
        <w:rPr>
          <w:i w:val="0"/>
          <w:iCs w:val="0"/>
          <w:caps w:val="0"/>
          <w:color w:val="000000"/>
          <w:spacing w:val="0"/>
          <w:shd w:val="clear" w:fill="FFFFFF"/>
        </w:rPr>
        <w:t> </w:t>
      </w:r>
    </w:p>
    <w:p>
      <w:pPr>
        <w:pStyle w:val="5"/>
        <w:keepNext w:val="0"/>
        <w:keepLines w:val="0"/>
        <w:widowControl/>
        <w:suppressLineNumbers w:val="0"/>
        <w:bidi w:val="0"/>
        <w:spacing w:before="0" w:beforeAutospacing="0" w:after="0" w:afterAutospacing="0" w:line="15" w:lineRule="atLeast"/>
        <w:jc w:val="both"/>
      </w:pPr>
      <w:r>
        <w:rPr>
          <w:rFonts w:hint="default" w:ascii="Arial" w:hAnsi="Arial" w:cs="Arial"/>
          <w:i w:val="0"/>
          <w:iCs w:val="0"/>
          <w:caps w:val="0"/>
          <w:color w:val="000000"/>
          <w:spacing w:val="0"/>
          <w:sz w:val="24"/>
          <w:szCs w:val="24"/>
          <w:shd w:val="clear" w:fill="FFFFFF"/>
          <w:vertAlign w:val="baseline"/>
        </w:rPr>
        <w:t>3. DO OBJETO E DAS ESPECIFICAÇÕES DO OBJETO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xml:space="preserve">3.1 </w:t>
      </w:r>
      <w:r>
        <w:rPr>
          <w:rFonts w:hint="default" w:ascii="Arial" w:hAnsi="Arial" w:cs="Arial"/>
          <w:b/>
          <w:bCs/>
          <w:i w:val="0"/>
          <w:iCs w:val="0"/>
          <w:caps w:val="0"/>
          <w:color w:val="000000"/>
          <w:spacing w:val="0"/>
          <w:sz w:val="24"/>
          <w:szCs w:val="24"/>
          <w:shd w:val="clear" w:fill="FFFFFF"/>
          <w:vertAlign w:val="baseline"/>
        </w:rPr>
        <w:t>Do Objeto: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xml:space="preserve">3.1.1 </w:t>
      </w:r>
      <w:r>
        <w:rPr>
          <w:rFonts w:hint="default" w:ascii="Arial" w:hAnsi="Arial" w:cs="Arial"/>
          <w:b/>
          <w:bCs/>
          <w:i w:val="0"/>
          <w:iCs w:val="0"/>
          <w:caps w:val="0"/>
          <w:color w:val="000000"/>
          <w:spacing w:val="0"/>
          <w:sz w:val="24"/>
          <w:szCs w:val="24"/>
          <w:shd w:val="clear" w:fill="FFFFFF"/>
          <w:vertAlign w:val="baseline"/>
        </w:rPr>
        <w:t>CONTRATAÇÃO DE EMPRESA ESPECIALIZADA NA PRESTAÇÃO DE SERVIÇOS DE SEGURO TOTAL PARA VEÍCULOS LEVES E PESADOS</w:t>
      </w:r>
      <w:r>
        <w:rPr>
          <w:rFonts w:hint="default" w:ascii="Arial" w:hAnsi="Arial" w:cs="Arial"/>
          <w:i w:val="0"/>
          <w:iCs w:val="0"/>
          <w:caps w:val="0"/>
          <w:color w:val="000000"/>
          <w:spacing w:val="0"/>
          <w:sz w:val="24"/>
          <w:szCs w:val="24"/>
          <w:shd w:val="clear" w:fill="FFFFFF"/>
          <w:vertAlign w:val="baseline"/>
        </w:rPr>
        <w:t>, na modalidade total por valor de mercado referenciado (cem por cento da tabela FIPE), visando atender a esta Secretaria Municipal de Desenvolvimento Social - SEMDES.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3</w:t>
      </w:r>
      <w:r>
        <w:rPr>
          <w:rStyle w:val="14"/>
          <w:rFonts w:hint="default" w:ascii="Arial" w:hAnsi="Arial" w:cs="Arial"/>
          <w:i w:val="0"/>
          <w:iCs w:val="0"/>
          <w:caps w:val="0"/>
          <w:color w:val="000000"/>
          <w:spacing w:val="0"/>
          <w:sz w:val="24"/>
          <w:szCs w:val="24"/>
          <w:shd w:val="clear" w:fill="FFFFFF"/>
          <w:vertAlign w:val="baseline"/>
        </w:rPr>
        <w:t>.2 Das Especificações e estimativa de quantidade:</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xml:space="preserve">3.2.1 Trataremos para todos os efeitos deste Termo de Referência, e demais peças administrativas originadas deste, como </w:t>
      </w:r>
      <w:r>
        <w:rPr>
          <w:rFonts w:hint="default" w:ascii="Arial" w:hAnsi="Arial" w:cs="Arial"/>
          <w:b/>
          <w:bCs/>
          <w:i w:val="0"/>
          <w:iCs w:val="0"/>
          <w:caps w:val="0"/>
          <w:color w:val="000000"/>
          <w:spacing w:val="0"/>
          <w:sz w:val="24"/>
          <w:szCs w:val="24"/>
          <w:shd w:val="clear" w:fill="FFFFFF"/>
          <w:vertAlign w:val="baseline"/>
        </w:rPr>
        <w:t xml:space="preserve">SERVIÇO </w:t>
      </w:r>
      <w:r>
        <w:rPr>
          <w:rFonts w:hint="default" w:ascii="Arial" w:hAnsi="Arial" w:cs="Arial"/>
          <w:i w:val="0"/>
          <w:iCs w:val="0"/>
          <w:caps w:val="0"/>
          <w:color w:val="000000"/>
          <w:spacing w:val="0"/>
          <w:sz w:val="24"/>
          <w:szCs w:val="24"/>
          <w:shd w:val="clear" w:fill="FFFFFF"/>
          <w:vertAlign w:val="baseline"/>
        </w:rPr>
        <w:t xml:space="preserve">os </w:t>
      </w:r>
      <w:r>
        <w:rPr>
          <w:rFonts w:hint="default" w:ascii="Arial" w:hAnsi="Arial" w:cs="Arial"/>
          <w:b/>
          <w:bCs/>
          <w:i w:val="0"/>
          <w:iCs w:val="0"/>
          <w:caps w:val="0"/>
          <w:color w:val="000000"/>
          <w:spacing w:val="0"/>
          <w:sz w:val="24"/>
          <w:szCs w:val="24"/>
          <w:shd w:val="clear" w:fill="FFFFFF"/>
          <w:vertAlign w:val="baseline"/>
        </w:rPr>
        <w:t>Itens descritos abaixo:</w:t>
      </w:r>
    </w:p>
    <w:p>
      <w:pPr>
        <w:pStyle w:val="29"/>
        <w:keepNext w:val="0"/>
        <w:keepLines w:val="0"/>
        <w:widowControl/>
        <w:suppressLineNumbers w:val="0"/>
        <w:bidi w:val="0"/>
        <w:spacing w:before="0" w:beforeAutospacing="0" w:after="0" w:afterAutospacing="0" w:line="15" w:lineRule="atLeast"/>
        <w:ind w:left="0" w:right="0" w:firstLine="0"/>
        <w:jc w:val="both"/>
      </w:pPr>
    </w:p>
    <w:tbl>
      <w:tblPr>
        <w:tblStyle w:val="12"/>
        <w:tblW w:w="0" w:type="auto"/>
        <w:tblInd w:w="0" w:type="dxa"/>
        <w:tblBorders>
          <w:top w:val="none" w:color="000000" w:sz="6" w:space="0"/>
          <w:left w:val="none" w:color="000000" w:sz="6" w:space="0"/>
          <w:bottom w:val="none" w:color="000000" w:sz="6" w:space="0"/>
          <w:right w:val="none" w:color="000000" w:sz="6"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885"/>
        <w:gridCol w:w="1120"/>
        <w:gridCol w:w="885"/>
        <w:gridCol w:w="7206"/>
      </w:tblGrid>
      <w:tr>
        <w:tblPrEx>
          <w:tblBorders>
            <w:top w:val="none" w:color="000000" w:sz="6" w:space="0"/>
            <w:left w:val="none" w:color="000000" w:sz="6" w:space="0"/>
            <w:bottom w:val="none" w:color="000000" w:sz="6" w:space="0"/>
            <w:right w:val="none" w:color="000000" w:sz="6" w:space="0"/>
            <w:insideH w:val="none" w:color="auto" w:sz="0" w:space="0"/>
            <w:insideV w:val="none" w:color="auto" w:sz="0" w:space="0"/>
          </w:tblBorders>
          <w:shd w:val="clear" w:color="auto" w:fill="auto"/>
          <w:tblCellMar>
            <w:top w:w="15" w:type="dxa"/>
            <w:left w:w="15" w:type="dxa"/>
            <w:bottom w:w="15" w:type="dxa"/>
            <w:right w:w="15" w:type="dxa"/>
          </w:tblCellMar>
        </w:tblPrEx>
        <w:trPr>
          <w:trHeight w:val="620" w:hRule="atLeast"/>
        </w:trPr>
        <w:tc>
          <w:tcPr>
            <w:tcW w:w="885" w:type="dxa"/>
            <w:tcBorders>
              <w:top w:val="dashed" w:color="BBBBBB" w:sz="6" w:space="0"/>
              <w:left w:val="dashed" w:color="BBBBBB" w:sz="6" w:space="0"/>
              <w:bottom w:val="dashed" w:color="BBBBBB" w:sz="6" w:space="0"/>
              <w:right w:val="dashed" w:color="BBBBBB" w:sz="6"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240" w:beforeAutospacing="0" w:after="240" w:afterAutospacing="0" w:line="15" w:lineRule="atLeast"/>
              <w:ind w:left="0" w:right="0"/>
              <w:jc w:val="center"/>
            </w:pPr>
            <w:r>
              <w:rPr>
                <w:rFonts w:hint="default" w:ascii="Arial" w:hAnsi="Arial" w:cs="Arial"/>
                <w:b/>
                <w:bCs/>
                <w:sz w:val="24"/>
                <w:szCs w:val="24"/>
                <w:vertAlign w:val="baseline"/>
              </w:rPr>
              <w:t>ITEM</w:t>
            </w:r>
          </w:p>
        </w:tc>
        <w:tc>
          <w:tcPr>
            <w:tcW w:w="1120" w:type="dxa"/>
            <w:tcBorders>
              <w:top w:val="single" w:color="000000" w:sz="2" w:space="0"/>
              <w:left w:val="dashed" w:color="BBBBBB" w:sz="6"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240" w:beforeAutospacing="0" w:after="240" w:afterAutospacing="0" w:line="15" w:lineRule="atLeast"/>
              <w:ind w:left="0" w:right="0"/>
              <w:jc w:val="center"/>
            </w:pPr>
            <w:r>
              <w:rPr>
                <w:rFonts w:hint="default" w:ascii="Arial" w:hAnsi="Arial" w:cs="Arial"/>
                <w:b/>
                <w:bCs/>
                <w:sz w:val="24"/>
                <w:szCs w:val="24"/>
                <w:vertAlign w:val="baseline"/>
              </w:rPr>
              <w:t>QUANT.</w:t>
            </w:r>
          </w:p>
        </w:tc>
        <w:tc>
          <w:tcPr>
            <w:tcW w:w="885"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240" w:beforeAutospacing="0" w:after="240" w:afterAutospacing="0" w:line="15" w:lineRule="atLeast"/>
              <w:ind w:left="0" w:right="0"/>
              <w:jc w:val="center"/>
            </w:pPr>
            <w:r>
              <w:rPr>
                <w:rFonts w:hint="default" w:ascii="Arial" w:hAnsi="Arial" w:cs="Arial"/>
                <w:b/>
                <w:bCs/>
                <w:sz w:val="24"/>
                <w:szCs w:val="24"/>
                <w:vertAlign w:val="baseline"/>
              </w:rPr>
              <w:t>UNID.</w:t>
            </w:r>
          </w:p>
        </w:tc>
        <w:tc>
          <w:tcPr>
            <w:tcW w:w="7206"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240" w:beforeAutospacing="0" w:after="240" w:afterAutospacing="0" w:line="15" w:lineRule="atLeast"/>
              <w:ind w:left="0" w:right="0"/>
              <w:jc w:val="center"/>
            </w:pPr>
            <w:r>
              <w:rPr>
                <w:rFonts w:hint="default" w:ascii="Arial" w:hAnsi="Arial" w:cs="Arial"/>
                <w:b/>
                <w:bCs/>
                <w:sz w:val="24"/>
                <w:szCs w:val="24"/>
                <w:vertAlign w:val="baseline"/>
              </w:rPr>
              <w:t>DESCRIÇÃO DO SERVIÇO</w:t>
            </w:r>
          </w:p>
        </w:tc>
      </w:tr>
      <w:tr>
        <w:tblPrEx>
          <w:tblBorders>
            <w:top w:val="none" w:color="000000" w:sz="6" w:space="0"/>
            <w:left w:val="none" w:color="000000" w:sz="6" w:space="0"/>
            <w:bottom w:val="none" w:color="000000" w:sz="6" w:space="0"/>
            <w:right w:val="none" w:color="000000" w:sz="6" w:space="0"/>
            <w:insideH w:val="none" w:color="auto" w:sz="0" w:space="0"/>
            <w:insideV w:val="none" w:color="auto" w:sz="0" w:space="0"/>
          </w:tblBorders>
          <w:shd w:val="clear" w:color="auto" w:fill="auto"/>
          <w:tblCellMar>
            <w:top w:w="15" w:type="dxa"/>
            <w:left w:w="15" w:type="dxa"/>
            <w:bottom w:w="15" w:type="dxa"/>
            <w:right w:w="15" w:type="dxa"/>
          </w:tblCellMar>
        </w:tblPrEx>
        <w:trPr>
          <w:trHeight w:val="2880" w:hRule="atLeast"/>
        </w:trPr>
        <w:tc>
          <w:tcPr>
            <w:tcW w:w="885" w:type="dxa"/>
            <w:tcBorders>
              <w:top w:val="dashed" w:color="BBBBBB" w:sz="6"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240" w:beforeAutospacing="0" w:after="240" w:afterAutospacing="0" w:line="15" w:lineRule="atLeast"/>
              <w:ind w:left="0" w:right="0"/>
              <w:jc w:val="center"/>
            </w:pPr>
            <w:r>
              <w:rPr>
                <w:rFonts w:hint="default" w:ascii="Arial" w:hAnsi="Arial" w:cs="Arial"/>
                <w:sz w:val="24"/>
                <w:szCs w:val="24"/>
                <w:vertAlign w:val="baseline"/>
              </w:rPr>
              <w:t>1</w:t>
            </w:r>
          </w:p>
        </w:tc>
        <w:tc>
          <w:tcPr>
            <w:tcW w:w="1120"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240" w:beforeAutospacing="0" w:after="240" w:afterAutospacing="0" w:line="15" w:lineRule="atLeast"/>
              <w:ind w:left="0" w:right="0"/>
              <w:jc w:val="center"/>
            </w:pPr>
            <w:r>
              <w:rPr>
                <w:rFonts w:hint="default" w:ascii="Arial" w:hAnsi="Arial" w:cs="Arial"/>
                <w:sz w:val="24"/>
                <w:szCs w:val="24"/>
                <w:vertAlign w:val="baseline"/>
              </w:rPr>
              <w:t>1</w:t>
            </w:r>
          </w:p>
        </w:tc>
        <w:tc>
          <w:tcPr>
            <w:tcW w:w="885"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240" w:beforeAutospacing="0" w:after="240" w:afterAutospacing="0" w:line="15" w:lineRule="atLeast"/>
              <w:ind w:left="0" w:right="0"/>
              <w:jc w:val="center"/>
            </w:pPr>
            <w:r>
              <w:rPr>
                <w:rFonts w:hint="default" w:ascii="Arial" w:hAnsi="Arial" w:cs="Arial"/>
                <w:sz w:val="24"/>
                <w:szCs w:val="24"/>
                <w:vertAlign w:val="baseline"/>
              </w:rPr>
              <w:t>Serv.</w:t>
            </w:r>
          </w:p>
        </w:tc>
        <w:tc>
          <w:tcPr>
            <w:tcW w:w="7206"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PRESTAÇÃO DE SERVIÇO DE SEGURO AUTOMOTIVO - CHEVROLET SPIN 1.8 MT/LT</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PRESTAÇÃO DE SERVIÇO DE SEGURO AUTOMOTIVO NA MODALIDADE TOTAL POR VALOR DE MERCADO REFERENCIADO (CEM POR CENTO DA TABELA FIPE).</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CHEVROLET SPIN 1.8 MT/LT PLACA: QTD-6C17</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 xml:space="preserve">RENAVAM: 1234831195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CHASSI: 9BGJB7520MB118447</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ANO/MODELO: 2020/2020 COR: BRANCO COMBUSTÍVEL: ÁLCOOL/GASOLINA TOMBAMENTO: 96581 VALOR TOTAL</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PARA O PERÍODO DE 12 MESES.</w:t>
            </w:r>
          </w:p>
        </w:tc>
      </w:tr>
      <w:tr>
        <w:tblPrEx>
          <w:tblBorders>
            <w:top w:val="none" w:color="000000" w:sz="6" w:space="0"/>
            <w:left w:val="none" w:color="000000" w:sz="6" w:space="0"/>
            <w:bottom w:val="none" w:color="000000" w:sz="6" w:space="0"/>
            <w:right w:val="none" w:color="000000" w:sz="6" w:space="0"/>
            <w:insideH w:val="none" w:color="auto" w:sz="0" w:space="0"/>
            <w:insideV w:val="none" w:color="auto" w:sz="0" w:space="0"/>
          </w:tblBorders>
          <w:shd w:val="clear" w:color="auto" w:fill="auto"/>
          <w:tblCellMar>
            <w:top w:w="15" w:type="dxa"/>
            <w:left w:w="15" w:type="dxa"/>
            <w:bottom w:w="15" w:type="dxa"/>
            <w:right w:w="15" w:type="dxa"/>
          </w:tblCellMar>
        </w:tblPrEx>
        <w:trPr>
          <w:trHeight w:val="3040" w:hRule="atLeast"/>
        </w:trPr>
        <w:tc>
          <w:tcPr>
            <w:tcW w:w="885"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240" w:beforeAutospacing="0" w:after="240" w:afterAutospacing="0" w:line="15" w:lineRule="atLeast"/>
              <w:ind w:left="0" w:right="0"/>
              <w:jc w:val="center"/>
            </w:pPr>
            <w:r>
              <w:rPr>
                <w:rFonts w:hint="default" w:ascii="Arial" w:hAnsi="Arial" w:cs="Arial"/>
                <w:sz w:val="24"/>
                <w:szCs w:val="24"/>
                <w:vertAlign w:val="baseline"/>
              </w:rPr>
              <w:t>2</w:t>
            </w:r>
          </w:p>
        </w:tc>
        <w:tc>
          <w:tcPr>
            <w:tcW w:w="1120"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240" w:beforeAutospacing="0" w:after="240" w:afterAutospacing="0" w:line="15" w:lineRule="atLeast"/>
              <w:ind w:left="0" w:right="0"/>
              <w:jc w:val="center"/>
            </w:pPr>
            <w:r>
              <w:rPr>
                <w:rFonts w:hint="default" w:ascii="Arial" w:hAnsi="Arial" w:cs="Arial"/>
                <w:sz w:val="24"/>
                <w:szCs w:val="24"/>
                <w:vertAlign w:val="baseline"/>
              </w:rPr>
              <w:t>1</w:t>
            </w:r>
          </w:p>
        </w:tc>
        <w:tc>
          <w:tcPr>
            <w:tcW w:w="885"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240" w:beforeAutospacing="0" w:after="240" w:afterAutospacing="0" w:line="15" w:lineRule="atLeast"/>
              <w:ind w:left="0" w:right="0"/>
              <w:jc w:val="center"/>
            </w:pPr>
            <w:r>
              <w:rPr>
                <w:rFonts w:hint="default" w:ascii="Arial" w:hAnsi="Arial" w:cs="Arial"/>
                <w:sz w:val="24"/>
                <w:szCs w:val="24"/>
                <w:vertAlign w:val="baseline"/>
              </w:rPr>
              <w:t>Serv.</w:t>
            </w:r>
          </w:p>
        </w:tc>
        <w:tc>
          <w:tcPr>
            <w:tcW w:w="7206"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PRESTAÇÃO DE SERVIÇO DE SEGURO AUTOMOTIVO - FIAT UNO 1.0</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PRESTAÇÃO DE SERVIÇO DE SEGURO AUTOMOTIVO NA MODALIDADE TOTAL POR VALOR DE MERCADO REFERENCIADO (CEM POR CENTO DA TABELA FIPE).</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 xml:space="preserve">FIAT UNO 1.0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 xml:space="preserve">PLACA: QTH-6C78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RENAVAM: 1240092684</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 xml:space="preserve">CHASSI: 9BD195A4ZM0896430 ANO/MODELO: 2020/2020 COR: BRANCO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COMBUSTÍVEL: ÁLCOOL/GASOLINA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TOMBAMENTO: 97350 VALOR TOTAL PARA O PERÍODO DE 12 MESES.</w:t>
            </w:r>
          </w:p>
        </w:tc>
      </w:tr>
      <w:tr>
        <w:tblPrEx>
          <w:tblBorders>
            <w:top w:val="none" w:color="000000" w:sz="6" w:space="0"/>
            <w:left w:val="none" w:color="000000" w:sz="6" w:space="0"/>
            <w:bottom w:val="none" w:color="000000" w:sz="6" w:space="0"/>
            <w:right w:val="none" w:color="000000" w:sz="6" w:space="0"/>
            <w:insideH w:val="none" w:color="auto" w:sz="0" w:space="0"/>
            <w:insideV w:val="none" w:color="auto" w:sz="0" w:space="0"/>
          </w:tblBorders>
          <w:shd w:val="clear" w:color="auto" w:fill="auto"/>
          <w:tblCellMar>
            <w:top w:w="15" w:type="dxa"/>
            <w:left w:w="15" w:type="dxa"/>
            <w:bottom w:w="15" w:type="dxa"/>
            <w:right w:w="15" w:type="dxa"/>
          </w:tblCellMar>
        </w:tblPrEx>
        <w:trPr>
          <w:trHeight w:val="2980" w:hRule="atLeast"/>
        </w:trPr>
        <w:tc>
          <w:tcPr>
            <w:tcW w:w="885"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240" w:beforeAutospacing="0" w:after="240" w:afterAutospacing="0" w:line="15" w:lineRule="atLeast"/>
              <w:ind w:left="0" w:right="0"/>
              <w:jc w:val="center"/>
            </w:pPr>
            <w:r>
              <w:rPr>
                <w:rFonts w:hint="default" w:ascii="Arial" w:hAnsi="Arial" w:cs="Arial"/>
                <w:sz w:val="24"/>
                <w:szCs w:val="24"/>
                <w:vertAlign w:val="baseline"/>
              </w:rPr>
              <w:t>3</w:t>
            </w:r>
          </w:p>
        </w:tc>
        <w:tc>
          <w:tcPr>
            <w:tcW w:w="1120"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240" w:beforeAutospacing="0" w:after="240" w:afterAutospacing="0" w:line="15" w:lineRule="atLeast"/>
              <w:ind w:left="0" w:right="0"/>
              <w:jc w:val="center"/>
            </w:pPr>
            <w:r>
              <w:rPr>
                <w:rFonts w:hint="default" w:ascii="Arial" w:hAnsi="Arial" w:cs="Arial"/>
                <w:sz w:val="24"/>
                <w:szCs w:val="24"/>
                <w:vertAlign w:val="baseline"/>
              </w:rPr>
              <w:t>1</w:t>
            </w:r>
          </w:p>
        </w:tc>
        <w:tc>
          <w:tcPr>
            <w:tcW w:w="885"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240" w:beforeAutospacing="0" w:after="240" w:afterAutospacing="0" w:line="15" w:lineRule="atLeast"/>
              <w:ind w:left="0" w:right="0"/>
              <w:jc w:val="center"/>
            </w:pPr>
            <w:r>
              <w:rPr>
                <w:rFonts w:hint="default" w:ascii="Arial" w:hAnsi="Arial" w:cs="Arial"/>
                <w:sz w:val="24"/>
                <w:szCs w:val="24"/>
                <w:vertAlign w:val="baseline"/>
              </w:rPr>
              <w:t>Serv.</w:t>
            </w:r>
          </w:p>
        </w:tc>
        <w:tc>
          <w:tcPr>
            <w:tcW w:w="7206"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SEGURO AUTOMOTIVO CHEVROLET MONTANA LS2</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PRESTAÇÃO DE SERVIÇO DE SEGURO AUTOMOTIVO NA MODALIDADE TOTAL POR VALOR DE MERCADO REFERENCIADO (CEM POR CENTO DA TABELA FIPE).</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 xml:space="preserve">CHEVROLET MONTANA LS2 PLACA: QTE-0569 RENAVAM:1168005482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CHASSI: 9BGCA8030KB12116 ANO/MODELO: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 xml:space="preserve">2018/2019 COR: BRANCO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COMBUSTÍVEL:ÁLCOOL/GASOLINA TOMBAMENTO: 89844 VALOR TOTAL PARA O PERÍODO DE 12 MESES.</w:t>
            </w:r>
          </w:p>
        </w:tc>
      </w:tr>
      <w:tr>
        <w:tblPrEx>
          <w:tblBorders>
            <w:top w:val="none" w:color="000000" w:sz="6" w:space="0"/>
            <w:left w:val="none" w:color="000000" w:sz="6" w:space="0"/>
            <w:bottom w:val="none" w:color="000000" w:sz="6" w:space="0"/>
            <w:right w:val="none" w:color="000000" w:sz="6" w:space="0"/>
            <w:insideH w:val="none" w:color="auto" w:sz="0" w:space="0"/>
            <w:insideV w:val="none" w:color="auto" w:sz="0" w:space="0"/>
          </w:tblBorders>
          <w:shd w:val="clear" w:color="auto" w:fill="auto"/>
          <w:tblCellMar>
            <w:top w:w="15" w:type="dxa"/>
            <w:left w:w="15" w:type="dxa"/>
            <w:bottom w:w="15" w:type="dxa"/>
            <w:right w:w="15" w:type="dxa"/>
          </w:tblCellMar>
        </w:tblPrEx>
        <w:trPr>
          <w:trHeight w:val="3420" w:hRule="atLeast"/>
        </w:trPr>
        <w:tc>
          <w:tcPr>
            <w:tcW w:w="885"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240" w:beforeAutospacing="0" w:after="240" w:afterAutospacing="0" w:line="15" w:lineRule="atLeast"/>
              <w:ind w:left="0" w:right="0"/>
              <w:jc w:val="center"/>
            </w:pPr>
            <w:r>
              <w:rPr>
                <w:rFonts w:hint="default" w:ascii="Arial" w:hAnsi="Arial" w:cs="Arial"/>
                <w:sz w:val="24"/>
                <w:szCs w:val="24"/>
                <w:vertAlign w:val="baseline"/>
              </w:rPr>
              <w:t>4</w:t>
            </w:r>
          </w:p>
        </w:tc>
        <w:tc>
          <w:tcPr>
            <w:tcW w:w="1120"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240" w:beforeAutospacing="0" w:after="240" w:afterAutospacing="0" w:line="15" w:lineRule="atLeast"/>
              <w:ind w:left="0" w:right="0"/>
              <w:jc w:val="center"/>
            </w:pPr>
            <w:r>
              <w:rPr>
                <w:rFonts w:hint="default" w:ascii="Arial" w:hAnsi="Arial" w:cs="Arial"/>
                <w:sz w:val="24"/>
                <w:szCs w:val="24"/>
                <w:vertAlign w:val="baseline"/>
              </w:rPr>
              <w:t>1</w:t>
            </w:r>
          </w:p>
        </w:tc>
        <w:tc>
          <w:tcPr>
            <w:tcW w:w="885"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240" w:beforeAutospacing="0" w:after="240" w:afterAutospacing="0" w:line="15" w:lineRule="atLeast"/>
              <w:ind w:left="0" w:right="0"/>
              <w:jc w:val="center"/>
            </w:pPr>
            <w:r>
              <w:rPr>
                <w:rFonts w:hint="default" w:ascii="Arial" w:hAnsi="Arial" w:cs="Arial"/>
                <w:sz w:val="24"/>
                <w:szCs w:val="24"/>
                <w:vertAlign w:val="baseline"/>
              </w:rPr>
              <w:t>Serv.</w:t>
            </w:r>
          </w:p>
        </w:tc>
        <w:tc>
          <w:tcPr>
            <w:tcW w:w="7206"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SEGURO AUTOMOTIVO MITSUBICHI L200 TRITON 3.2D</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PRESTAÇÃO DE SERVIÇO DE SEGURO AUTOMOTIVO NA MODALIDADE TOTAL POR VALOR DE MERCADO REFERENCIADO (CEM POR CENTO DA TABELA FIPE).</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 xml:space="preserve">MITSUBICHI L200 TRITON 3.2D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 xml:space="preserve">PLACA: NDO-1508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 xml:space="preserve">RENAVAM: 495679275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CHASSI: 93XJRKB8TCCC51143</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 xml:space="preserve">ANO/MODELO: 2012/2012 COR: BRANCO COMBUSTÍVEL:DIESEL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TOMBAMENTO: 78172 VALOR TOTAL PARA O PERÍODO DE 12 MESES.</w:t>
            </w:r>
          </w:p>
        </w:tc>
      </w:tr>
      <w:tr>
        <w:tblPrEx>
          <w:tblBorders>
            <w:top w:val="none" w:color="000000" w:sz="6" w:space="0"/>
            <w:left w:val="none" w:color="000000" w:sz="6" w:space="0"/>
            <w:bottom w:val="none" w:color="000000" w:sz="6" w:space="0"/>
            <w:right w:val="none" w:color="000000" w:sz="6" w:space="0"/>
            <w:insideH w:val="none" w:color="auto" w:sz="0" w:space="0"/>
            <w:insideV w:val="none" w:color="auto" w:sz="0" w:space="0"/>
          </w:tblBorders>
          <w:shd w:val="clear" w:color="auto" w:fill="auto"/>
          <w:tblCellMar>
            <w:top w:w="15" w:type="dxa"/>
            <w:left w:w="15" w:type="dxa"/>
            <w:bottom w:w="15" w:type="dxa"/>
            <w:right w:w="15" w:type="dxa"/>
          </w:tblCellMar>
        </w:tblPrEx>
        <w:trPr>
          <w:trHeight w:val="3260" w:hRule="atLeast"/>
        </w:trPr>
        <w:tc>
          <w:tcPr>
            <w:tcW w:w="885"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240" w:beforeAutospacing="0" w:after="240" w:afterAutospacing="0" w:line="15" w:lineRule="atLeast"/>
              <w:ind w:left="0" w:right="0"/>
              <w:jc w:val="center"/>
            </w:pPr>
            <w:r>
              <w:rPr>
                <w:rFonts w:hint="default" w:ascii="Arial" w:hAnsi="Arial" w:cs="Arial"/>
                <w:sz w:val="24"/>
                <w:szCs w:val="24"/>
                <w:vertAlign w:val="baseline"/>
              </w:rPr>
              <w:t>5</w:t>
            </w:r>
          </w:p>
        </w:tc>
        <w:tc>
          <w:tcPr>
            <w:tcW w:w="1120"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240" w:beforeAutospacing="0" w:after="240" w:afterAutospacing="0" w:line="15" w:lineRule="atLeast"/>
              <w:ind w:left="0" w:right="0"/>
              <w:jc w:val="center"/>
            </w:pPr>
            <w:r>
              <w:rPr>
                <w:rFonts w:hint="default" w:ascii="Arial" w:hAnsi="Arial" w:cs="Arial"/>
                <w:sz w:val="24"/>
                <w:szCs w:val="24"/>
                <w:vertAlign w:val="baseline"/>
              </w:rPr>
              <w:t>1</w:t>
            </w:r>
          </w:p>
        </w:tc>
        <w:tc>
          <w:tcPr>
            <w:tcW w:w="885"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240" w:beforeAutospacing="0" w:after="240" w:afterAutospacing="0" w:line="15" w:lineRule="atLeast"/>
              <w:ind w:left="0" w:right="0"/>
              <w:jc w:val="center"/>
            </w:pPr>
            <w:r>
              <w:rPr>
                <w:rFonts w:hint="default" w:ascii="Arial" w:hAnsi="Arial" w:cs="Arial"/>
                <w:sz w:val="24"/>
                <w:szCs w:val="24"/>
                <w:vertAlign w:val="baseline"/>
              </w:rPr>
              <w:t>Serv.</w:t>
            </w:r>
          </w:p>
        </w:tc>
        <w:tc>
          <w:tcPr>
            <w:tcW w:w="7206"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SEGURO AUTOMOTIVO TOYOTA ETIOS HB X VSC M</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PRESTAÇÃO DE SERVIÇO DE SEGURO AUTOMOTIVO NA MODALIDADE TOTAL POR VALOR DE MERCADO REFERENCIADO (CEM POR CENTO DA TABELA FIPE).</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 xml:space="preserve">TOYOTA ETIOS HB X VSC M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 xml:space="preserve">PLACA: OHS-8863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 xml:space="preserve">RENAVAM:1206738615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CHASSI: 9BRK19BT8L2132605 ANO/MODELO: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 xml:space="preserve">2019/2020 COR: BRANCO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COMBUSTÍVEL:ÁLCOOL/GASOLINA TOMBAMENTO: 78172 VALOR TOTAL PARA O PERÍODO DE 12 MESES.</w:t>
            </w:r>
          </w:p>
        </w:tc>
      </w:tr>
      <w:tr>
        <w:tblPrEx>
          <w:tblBorders>
            <w:top w:val="none" w:color="000000" w:sz="6" w:space="0"/>
            <w:left w:val="none" w:color="000000" w:sz="6" w:space="0"/>
            <w:bottom w:val="none" w:color="000000" w:sz="6" w:space="0"/>
            <w:right w:val="none" w:color="000000" w:sz="6" w:space="0"/>
            <w:insideH w:val="none" w:color="auto" w:sz="0" w:space="0"/>
            <w:insideV w:val="none" w:color="auto" w:sz="0" w:space="0"/>
          </w:tblBorders>
          <w:shd w:val="clear" w:color="auto" w:fill="auto"/>
          <w:tblCellMar>
            <w:top w:w="15" w:type="dxa"/>
            <w:left w:w="15" w:type="dxa"/>
            <w:bottom w:w="15" w:type="dxa"/>
            <w:right w:w="15" w:type="dxa"/>
          </w:tblCellMar>
        </w:tblPrEx>
        <w:trPr>
          <w:trHeight w:val="3280" w:hRule="atLeast"/>
        </w:trPr>
        <w:tc>
          <w:tcPr>
            <w:tcW w:w="885"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240" w:beforeAutospacing="0" w:after="240" w:afterAutospacing="0" w:line="15" w:lineRule="atLeast"/>
              <w:ind w:left="0" w:right="0"/>
              <w:jc w:val="center"/>
            </w:pPr>
            <w:r>
              <w:rPr>
                <w:rFonts w:hint="default" w:ascii="Arial" w:hAnsi="Arial" w:cs="Arial"/>
                <w:sz w:val="24"/>
                <w:szCs w:val="24"/>
                <w:vertAlign w:val="baseline"/>
              </w:rPr>
              <w:t>6</w:t>
            </w:r>
          </w:p>
        </w:tc>
        <w:tc>
          <w:tcPr>
            <w:tcW w:w="1120"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240" w:beforeAutospacing="0" w:after="240" w:afterAutospacing="0" w:line="15" w:lineRule="atLeast"/>
              <w:ind w:left="0" w:right="0"/>
              <w:jc w:val="center"/>
            </w:pPr>
            <w:r>
              <w:rPr>
                <w:rFonts w:hint="default" w:ascii="Arial" w:hAnsi="Arial" w:cs="Arial"/>
                <w:sz w:val="24"/>
                <w:szCs w:val="24"/>
                <w:vertAlign w:val="baseline"/>
              </w:rPr>
              <w:t>1</w:t>
            </w:r>
          </w:p>
        </w:tc>
        <w:tc>
          <w:tcPr>
            <w:tcW w:w="885"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240" w:beforeAutospacing="0" w:after="240" w:afterAutospacing="0" w:line="15" w:lineRule="atLeast"/>
              <w:ind w:left="0" w:right="0"/>
              <w:jc w:val="center"/>
            </w:pPr>
            <w:r>
              <w:rPr>
                <w:rFonts w:hint="default" w:ascii="Arial" w:hAnsi="Arial" w:cs="Arial"/>
                <w:sz w:val="24"/>
                <w:szCs w:val="24"/>
                <w:vertAlign w:val="baseline"/>
              </w:rPr>
              <w:t>Serv.</w:t>
            </w:r>
          </w:p>
        </w:tc>
        <w:tc>
          <w:tcPr>
            <w:tcW w:w="7206"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SEGURO AUTOMOTIVO TOYOTA HILLUX CDSR A4FD</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PRESTAÇÃO DE SERVIÇO DE SEGURO AUTOMOTIVO NA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MODALIDADE TOTAL POR VALOR DE MERCADO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REFERENCIADO (CEM POR CENTO DA TABELA FIPE).</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 xml:space="preserve">TOYOTA HILLUX CDSR A4FD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PLACA: QTE-3170</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 xml:space="preserve">RENAVAM: 1171452907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CHASSI: 8AJKA8CD2K3180553</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 xml:space="preserve">ANO/MODELO: 2018/2019 COR: BRANCO COMBUSTÍVEL:DIESEL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TOMBAMENTO: 90940 VALOR TOTAL PARA O PERÍODO DE 12 MESES.</w:t>
            </w:r>
          </w:p>
        </w:tc>
      </w:tr>
      <w:tr>
        <w:tblPrEx>
          <w:tblBorders>
            <w:top w:val="none" w:color="000000" w:sz="6" w:space="0"/>
            <w:left w:val="none" w:color="000000" w:sz="6" w:space="0"/>
            <w:bottom w:val="none" w:color="000000" w:sz="6" w:space="0"/>
            <w:right w:val="none" w:color="000000" w:sz="6" w:space="0"/>
            <w:insideH w:val="none" w:color="auto" w:sz="0" w:space="0"/>
            <w:insideV w:val="none" w:color="auto" w:sz="0" w:space="0"/>
          </w:tblBorders>
          <w:shd w:val="clear" w:color="auto" w:fill="auto"/>
          <w:tblCellMar>
            <w:top w:w="15" w:type="dxa"/>
            <w:left w:w="15" w:type="dxa"/>
            <w:bottom w:w="15" w:type="dxa"/>
            <w:right w:w="15" w:type="dxa"/>
          </w:tblCellMar>
        </w:tblPrEx>
        <w:trPr>
          <w:trHeight w:val="2620" w:hRule="atLeast"/>
        </w:trPr>
        <w:tc>
          <w:tcPr>
            <w:tcW w:w="885"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240" w:beforeAutospacing="0" w:after="240" w:afterAutospacing="0" w:line="15" w:lineRule="atLeast"/>
              <w:ind w:left="0" w:right="0"/>
              <w:jc w:val="center"/>
            </w:pPr>
            <w:r>
              <w:rPr>
                <w:rFonts w:hint="default" w:ascii="Arial" w:hAnsi="Arial" w:cs="Arial"/>
                <w:sz w:val="24"/>
                <w:szCs w:val="24"/>
                <w:vertAlign w:val="baseline"/>
              </w:rPr>
              <w:t>7</w:t>
            </w:r>
          </w:p>
        </w:tc>
        <w:tc>
          <w:tcPr>
            <w:tcW w:w="1120"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240" w:beforeAutospacing="0" w:after="240" w:afterAutospacing="0" w:line="15" w:lineRule="atLeast"/>
              <w:ind w:left="0" w:right="0"/>
              <w:jc w:val="center"/>
            </w:pPr>
            <w:r>
              <w:rPr>
                <w:rFonts w:hint="default" w:ascii="Arial" w:hAnsi="Arial" w:cs="Arial"/>
                <w:sz w:val="24"/>
                <w:szCs w:val="24"/>
                <w:vertAlign w:val="baseline"/>
              </w:rPr>
              <w:t>1</w:t>
            </w:r>
          </w:p>
        </w:tc>
        <w:tc>
          <w:tcPr>
            <w:tcW w:w="885"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240" w:beforeAutospacing="0" w:after="240" w:afterAutospacing="0" w:line="15" w:lineRule="atLeast"/>
              <w:ind w:left="0" w:right="0"/>
              <w:jc w:val="center"/>
            </w:pPr>
            <w:r>
              <w:rPr>
                <w:rFonts w:hint="default" w:ascii="Arial" w:hAnsi="Arial" w:cs="Arial"/>
                <w:sz w:val="24"/>
                <w:szCs w:val="24"/>
                <w:vertAlign w:val="baseline"/>
              </w:rPr>
              <w:t>Serv.</w:t>
            </w:r>
          </w:p>
        </w:tc>
        <w:tc>
          <w:tcPr>
            <w:tcW w:w="7206"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 xml:space="preserve">SERVIÇO DE SEGURO VW NEOBUS TH 0 - ÔNIBUS PRESTAÇÃO DE SERVIÇO DE SEGURO AUTOMOTIVO NA MODALIDADE TOTAL POR VALOR DE MERCADO REFERENCIADO (CEM POR CENTO DA TABELA FIPE).VW NEOBUS TH 0 - ÔNIBUS PLACA: PBQ-9446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 xml:space="preserve">RENAVAM:01185979767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CHASSI: 9532M52P9LR002071</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 xml:space="preserve">ANO/MODELO: 2019/2020 COR: BRANCO COMBUSTÍVEL:DIESEL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sz w:val="24"/>
                <w:szCs w:val="24"/>
                <w:vertAlign w:val="baseline"/>
              </w:rPr>
              <w:t>TOMBAMENTO: 92050 VALOR TOTAL PARA O PERÍODO DE 12 MESES.</w:t>
            </w:r>
          </w:p>
        </w:tc>
      </w:tr>
    </w:tbl>
    <w:p>
      <w:pPr>
        <w:pStyle w:val="29"/>
        <w:keepNext w:val="0"/>
        <w:keepLines w:val="0"/>
        <w:widowControl/>
        <w:suppressLineNumbers w:val="0"/>
        <w:bidi w:val="0"/>
        <w:spacing w:before="0" w:beforeAutospacing="0" w:after="0" w:afterAutospacing="0" w:line="15" w:lineRule="atLeast"/>
        <w:ind w:left="0" w:right="0"/>
        <w:jc w:val="both"/>
      </w:pP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3.2.2 O valor da franquia não será objeto de licitação.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3.2.3 O objeto da licitação tem a natureza de serviço comum, uma vez que os de padrões de desempenho e qualidade estão objetivamente definidos no edital, por meio de especificações usuais praticadas no mercado.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3.2.4 O quantitativo e respectivo código do item é o discriminado na tabela acima.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3.2.5 O prazo de vigência do contrato é de 12 (doze) meses, podendo ser prorrogado por interesse das partes até o limite de 60 (sessenta) meses, com base no artigo 57, II, da Lei 8.666, de 1993.</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4. FINALIDADE/JUSTIFICATIVA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4.1 A presente contratação é motivada pela necessidade de garantir a cobertura de despesas frente a eventuais sinistros/danos que possam atingir os veículos desta SEMDES. Em razão que, cada vez mais, em decorrência do grande fluxo de veículos existentes percorrendo nossas cidades e ainda, principalmente pelas condições das vias públicas, sejam nas áreas urbanas, rodovias e estradas da zona rural, o que possibilita a exposição destes veículos a se envolverem em sinistros, colocando assim em risco, não somente o patrimônio público, como a segurança de seus ocupantes. Ao mesmo tempo, está cada vez mais difícil o deslocamento em função da elevação do número de veículos que os expõem a colisões, bem como aos demais riscos inerentes como incêndios, intempéries e demais fenômenos da natureza.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xml:space="preserve">4.2 Desta forma, o </w:t>
      </w:r>
      <w:r>
        <w:rPr>
          <w:rFonts w:hint="default" w:ascii="Arial" w:hAnsi="Arial" w:cs="Arial"/>
          <w:b/>
          <w:bCs/>
          <w:i w:val="0"/>
          <w:iCs w:val="0"/>
          <w:caps w:val="0"/>
          <w:color w:val="000000"/>
          <w:spacing w:val="0"/>
          <w:sz w:val="24"/>
          <w:szCs w:val="24"/>
          <w:shd w:val="clear" w:fill="FFFFFF"/>
          <w:vertAlign w:val="baseline"/>
        </w:rPr>
        <w:t>SEGURO TOTAL</w:t>
      </w:r>
      <w:r>
        <w:rPr>
          <w:rFonts w:hint="default" w:ascii="Arial" w:hAnsi="Arial" w:cs="Arial"/>
          <w:i w:val="0"/>
          <w:iCs w:val="0"/>
          <w:caps w:val="0"/>
          <w:color w:val="000000"/>
          <w:spacing w:val="0"/>
          <w:sz w:val="24"/>
          <w:szCs w:val="24"/>
          <w:shd w:val="clear" w:fill="FFFFFF"/>
          <w:vertAlign w:val="baseline"/>
        </w:rPr>
        <w:t xml:space="preserve"> para o veículo, irá propiciar a segurança necessária para o deslocamento dos servidores desta Secretaria, em suas atividades e locomoção para viagens em Ariquemes/região e a capital do Estado de Rondônia, pois segue caminhos ininterruptos sujeitos à toda sorte exposto ao trânsito existente atualmente, seja nas vias urbanas como rurais e rodovias, sendo deste modo, forçoso a cobertura de seguro para o automóvel, dando mais segurança contra danos causados por colisões, roubos, furtos, incêndios, intempéries e demais fenômenos da natureza, prejuízos materiais a terceiros, bem como para cobrir danos pessoais ao condutor e passageiros, e a terceiros. Assim, é imperativo haver uma cobertura financeira indenizatória para um patrimônio público valioso sujeito frequentemente a perturbações incontroláveis, que resulta em danos materiais e pessoais. E por ser obrigação do gestor zelar pelo patrimônio, evitando-se prejuízos ao erário público e ainda aos servidores sob sua subordinação, é imprescindível a aquisição do SEGURO TOTAL para os veículos identificados na presente justificativa. Assim, torna-se imperiosa a presente contratação de empresa especializada em seguro veicular.4.0.1 As APÓLICES DO SEGURO deverão ser disponibilizadas à SEMDES no prazo máximo de 30 (trinta) dias a partir da assinatura do contrato, de forma eletrônica, ou excepcionalmente, e desde que justificadamente, diretamente na sede administrativa da </w:t>
      </w:r>
      <w:r>
        <w:rPr>
          <w:rFonts w:hint="default" w:ascii="Arial" w:hAnsi="Arial" w:cs="Arial"/>
          <w:b/>
          <w:bCs/>
          <w:i w:val="0"/>
          <w:iCs w:val="0"/>
          <w:caps w:val="0"/>
          <w:color w:val="000000"/>
          <w:spacing w:val="0"/>
          <w:sz w:val="24"/>
          <w:szCs w:val="24"/>
          <w:shd w:val="clear" w:fill="FFFFFF"/>
          <w:vertAlign w:val="baseline"/>
        </w:rPr>
        <w:t>Secretaria Municipal de Desenvolvimento Social SEMDES</w:t>
      </w:r>
      <w:r>
        <w:rPr>
          <w:rFonts w:hint="default" w:ascii="Arial" w:hAnsi="Arial" w:cs="Arial"/>
          <w:i w:val="0"/>
          <w:iCs w:val="0"/>
          <w:caps w:val="0"/>
          <w:color w:val="000000"/>
          <w:spacing w:val="0"/>
          <w:sz w:val="24"/>
          <w:szCs w:val="24"/>
          <w:shd w:val="clear" w:fill="FFFFFF"/>
          <w:vertAlign w:val="baseline"/>
        </w:rPr>
        <w:t>, localizada na Avenida Jamari, n° 4615, Setor 02, Ariquemes/Rondônia, CEP: 76.873-125, fone: (69) 3536-0206, no horário normal de expediente, das 7h30 às 13h30 de segunda à sexta-feira.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4.3 Todo e qualquer ônus decorrente da entrega do objeto serão de inteira responsabilidade da CONTRATADA.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4.4 Estarão inclusos nesta contratação todos os custos inerentes ao fornecimento do objeto ora contratado.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5. CONDIÇÕES DE RECEBIMENTO E CRITÉRIOS DE ACEITABILIDADES DOS OBJETOS: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xml:space="preserve">5.1 São de inteira responsabilidade da </w:t>
      </w:r>
      <w:r>
        <w:rPr>
          <w:rFonts w:hint="default" w:ascii="Arial" w:hAnsi="Arial" w:cs="Arial"/>
          <w:b/>
          <w:bCs/>
          <w:i/>
          <w:iCs/>
          <w:caps w:val="0"/>
          <w:color w:val="000000"/>
          <w:spacing w:val="0"/>
          <w:sz w:val="24"/>
          <w:szCs w:val="24"/>
          <w:shd w:val="clear" w:fill="FFFFFF"/>
          <w:vertAlign w:val="baseline"/>
        </w:rPr>
        <w:t>Secretaria Municipal de Desenvolvimento Social - SEMDES</w:t>
      </w:r>
      <w:r>
        <w:rPr>
          <w:rFonts w:hint="default" w:ascii="Arial" w:hAnsi="Arial" w:cs="Arial"/>
          <w:i/>
          <w:iCs/>
          <w:caps w:val="0"/>
          <w:color w:val="000000"/>
          <w:spacing w:val="0"/>
          <w:sz w:val="24"/>
          <w:szCs w:val="24"/>
          <w:shd w:val="clear" w:fill="FFFFFF"/>
          <w:vertAlign w:val="baseline"/>
        </w:rPr>
        <w:t xml:space="preserve"> </w:t>
      </w:r>
      <w:r>
        <w:rPr>
          <w:rFonts w:hint="default" w:ascii="Arial" w:hAnsi="Arial" w:cs="Arial"/>
          <w:i w:val="0"/>
          <w:iCs w:val="0"/>
          <w:caps w:val="0"/>
          <w:color w:val="000000"/>
          <w:spacing w:val="0"/>
          <w:sz w:val="24"/>
          <w:szCs w:val="24"/>
          <w:shd w:val="clear" w:fill="FFFFFF"/>
          <w:vertAlign w:val="baseline"/>
        </w:rPr>
        <w:t>os procedimentos de recebimento de  contratação de serviços</w:t>
      </w:r>
      <w:r>
        <w:rPr>
          <w:rFonts w:hint="default" w:ascii="Arial" w:hAnsi="Arial" w:cs="Arial"/>
          <w:i w:val="0"/>
          <w:iCs w:val="0"/>
          <w:caps w:val="0"/>
          <w:color w:val="000000"/>
          <w:spacing w:val="0"/>
          <w:sz w:val="24"/>
          <w:szCs w:val="24"/>
          <w:shd w:val="clear" w:fill="FFFFFF"/>
        </w:rPr>
        <w:t>,</w:t>
      </w:r>
      <w:r>
        <w:rPr>
          <w:rFonts w:hint="default" w:ascii="Arial" w:hAnsi="Arial" w:cs="Arial"/>
          <w:i w:val="0"/>
          <w:iCs w:val="0"/>
          <w:caps w:val="0"/>
          <w:color w:val="000000"/>
          <w:spacing w:val="0"/>
          <w:sz w:val="24"/>
          <w:szCs w:val="24"/>
          <w:shd w:val="clear" w:fill="FFFFFF"/>
          <w:vertAlign w:val="baseline"/>
        </w:rPr>
        <w:t xml:space="preserve"> por </w:t>
      </w:r>
      <w:r>
        <w:rPr>
          <w:rFonts w:hint="default" w:ascii="Arial" w:hAnsi="Arial" w:cs="Arial"/>
          <w:b/>
          <w:bCs/>
          <w:i/>
          <w:iCs/>
          <w:caps w:val="0"/>
          <w:color w:val="000000"/>
          <w:spacing w:val="0"/>
          <w:sz w:val="24"/>
          <w:szCs w:val="24"/>
          <w:shd w:val="clear" w:fill="FFFFFF"/>
          <w:vertAlign w:val="baseline"/>
        </w:rPr>
        <w:t>Comissão de Apoio de Recebimento de Serviços - SEMDES</w:t>
      </w:r>
      <w:r>
        <w:rPr>
          <w:rFonts w:hint="default" w:ascii="Arial" w:hAnsi="Arial" w:cs="Arial"/>
          <w:i w:val="0"/>
          <w:iCs w:val="0"/>
          <w:caps w:val="0"/>
          <w:color w:val="000000"/>
          <w:spacing w:val="0"/>
          <w:sz w:val="24"/>
          <w:szCs w:val="24"/>
          <w:shd w:val="clear" w:fill="FFFFFF"/>
          <w:vertAlign w:val="baseline"/>
        </w:rPr>
        <w:t>, inseridas na estrutura, nomeada através da portaria n.º 001 de janeiro de 2021, a qual goza de autonomia para, dentro das normas e responsabilidades: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5.2 A comissão de recebimento emitirá Termo de Recebimento Definitivo após a entrega completa do serviço mediante análise específica que comprove sua conformidade com os padrões estabelecidos no presente Termo de Referência e execução do equipamento em boa qualidade.</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5.3 A Comissão de Recebimento, fará a conferência da quantidade e qualidade dos serviços entregues, conforme especificações técnicas discriminadas no Item 3.2.1;</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xml:space="preserve">5.4 O produto deverá ser entregue de acordo com as especificações técnicas e demais disposições </w:t>
      </w:r>
      <w:r>
        <w:rPr>
          <w:rFonts w:hint="default" w:ascii="Arial" w:hAnsi="Arial" w:cs="Arial"/>
          <w:b/>
          <w:bCs/>
          <w:i w:val="0"/>
          <w:iCs w:val="0"/>
          <w:caps w:val="0"/>
          <w:color w:val="000000"/>
          <w:spacing w:val="0"/>
          <w:sz w:val="24"/>
          <w:szCs w:val="24"/>
          <w:shd w:val="clear" w:fill="FFFFFF"/>
          <w:vertAlign w:val="baseline"/>
        </w:rPr>
        <w:t>no Item 3.2</w:t>
      </w:r>
      <w:r>
        <w:rPr>
          <w:rFonts w:hint="default" w:ascii="Arial" w:hAnsi="Arial" w:cs="Arial"/>
          <w:i w:val="0"/>
          <w:iCs w:val="0"/>
          <w:caps w:val="0"/>
          <w:color w:val="000000"/>
          <w:spacing w:val="0"/>
          <w:sz w:val="24"/>
          <w:szCs w:val="24"/>
          <w:shd w:val="clear" w:fill="FFFFFF"/>
          <w:vertAlign w:val="baseline"/>
        </w:rPr>
        <w:t>, não sendo permitido à Comissão, receber os serviços fora das especificações pré-definidas, salvo por motivo superveniente, devidamente justificado e aceita;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5.5 Os recebimentos especiais, fora do agendamento serão aceitos, excepcionalmente, desde que não prejudiquem os demais recebimentos agendados, a critério da Secretaria requisitante.</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5.6 As despesas de frete deverão estar inclusas no preço proposto e em hipótese alguma poderão ser destacadas quando da emissão da Nota Fiscal/fatura.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5.7 O prazo de entrega poderá ser prorrogado, por igual período, a critério da Administração, desde que haja justificativa aceitável por parte da contratada.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xml:space="preserve">5.8 O fornecimento do (s) </w:t>
      </w:r>
      <w:r>
        <w:rPr>
          <w:rFonts w:hint="default" w:ascii="Arial" w:hAnsi="Arial" w:cs="Arial"/>
          <w:b/>
          <w:bCs/>
          <w:i w:val="0"/>
          <w:iCs w:val="0"/>
          <w:caps w:val="0"/>
          <w:color w:val="000000"/>
          <w:spacing w:val="0"/>
          <w:sz w:val="24"/>
          <w:szCs w:val="24"/>
          <w:shd w:val="clear" w:fill="FFFFFF"/>
          <w:vertAlign w:val="baseline"/>
        </w:rPr>
        <w:t>OBJETO</w:t>
      </w:r>
      <w:r>
        <w:rPr>
          <w:rFonts w:hint="default" w:ascii="Arial" w:hAnsi="Arial" w:cs="Arial"/>
          <w:i w:val="0"/>
          <w:iCs w:val="0"/>
          <w:caps w:val="0"/>
          <w:color w:val="000000"/>
          <w:spacing w:val="0"/>
          <w:sz w:val="24"/>
          <w:szCs w:val="24"/>
          <w:shd w:val="clear" w:fill="FFFFFF"/>
          <w:vertAlign w:val="baseline"/>
        </w:rPr>
        <w:t xml:space="preserve"> (s) se dará à contratada de </w:t>
      </w:r>
      <w:r>
        <w:rPr>
          <w:rFonts w:hint="default" w:ascii="Arial" w:hAnsi="Arial" w:cs="Arial"/>
          <w:b/>
          <w:bCs/>
          <w:i w:val="0"/>
          <w:iCs w:val="0"/>
          <w:caps w:val="0"/>
          <w:color w:val="000000"/>
          <w:spacing w:val="0"/>
          <w:sz w:val="24"/>
          <w:szCs w:val="24"/>
          <w:shd w:val="clear" w:fill="FFFFFF"/>
          <w:vertAlign w:val="baseline"/>
        </w:rPr>
        <w:t>uma única vez</w:t>
      </w:r>
      <w:r>
        <w:rPr>
          <w:rFonts w:hint="default" w:ascii="Arial" w:hAnsi="Arial" w:cs="Arial"/>
          <w:i w:val="0"/>
          <w:iCs w:val="0"/>
          <w:caps w:val="0"/>
          <w:color w:val="000000"/>
          <w:spacing w:val="0"/>
          <w:sz w:val="24"/>
          <w:szCs w:val="24"/>
          <w:shd w:val="clear" w:fill="FFFFFF"/>
          <w:vertAlign w:val="baseline"/>
        </w:rPr>
        <w:t>;</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5.9 O não atendimento do prazo fixado do item 7.1 implicará em pena de rescisão do termo que instrumentaliza a contração, salvo justificativa fundamentada do fornecedor, com a devida aceitação do ordenador de despesa da unidade orçamentária responsável pela contratação;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5.10 Feita à entrega pela contratada o contratante por intermédio da Comissão de Apoio de Recebimento de Serviços - SEMDES, realizará no prazo máximo de 05 (cinco) dias, os exames necessários para aceitação/aprovação dos materiais de modo a comprovar que o mesmo atende as especificações estabelecidas no presente Termo de Referência.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5.11 O recebimento e aceitação do serviço serão observados as especificações contidas neste termo de referência e no edital e as disposições contidas nos Artigos de 73 a 76, da Lei Federal nº 8.666/93, modificada pela Lei nº. 8883/94, o objeto da presente será recebido: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xml:space="preserve">5.11.1 </w:t>
      </w:r>
      <w:r>
        <w:rPr>
          <w:rFonts w:hint="default" w:ascii="Arial" w:hAnsi="Arial" w:cs="Arial"/>
          <w:b/>
          <w:bCs/>
          <w:i w:val="0"/>
          <w:iCs w:val="0"/>
          <w:caps w:val="0"/>
          <w:color w:val="000000"/>
          <w:spacing w:val="0"/>
          <w:sz w:val="24"/>
          <w:szCs w:val="24"/>
          <w:shd w:val="clear" w:fill="FFFFFF"/>
          <w:vertAlign w:val="baseline"/>
        </w:rPr>
        <w:t>Provisoriamente</w:t>
      </w:r>
      <w:r>
        <w:rPr>
          <w:rFonts w:hint="default" w:ascii="Arial" w:hAnsi="Arial" w:cs="Arial"/>
          <w:i w:val="0"/>
          <w:iCs w:val="0"/>
          <w:caps w:val="0"/>
          <w:color w:val="000000"/>
          <w:spacing w:val="0"/>
          <w:sz w:val="24"/>
          <w:szCs w:val="24"/>
          <w:shd w:val="clear" w:fill="FFFFFF"/>
          <w:vertAlign w:val="baseline"/>
        </w:rPr>
        <w:t xml:space="preserve"> (art. 73, II, a, da Lei 8.666/93) - imediatamente depois de efetuada a entrega, será firmado pela </w:t>
      </w:r>
      <w:r>
        <w:rPr>
          <w:rFonts w:hint="default" w:ascii="Arial" w:hAnsi="Arial" w:cs="Arial"/>
          <w:b/>
          <w:bCs/>
          <w:i/>
          <w:iCs/>
          <w:caps w:val="0"/>
          <w:color w:val="000000"/>
          <w:spacing w:val="0"/>
          <w:sz w:val="24"/>
          <w:szCs w:val="24"/>
          <w:shd w:val="clear" w:fill="FFFFFF"/>
          <w:vertAlign w:val="baseline"/>
        </w:rPr>
        <w:t>Comissão de Apoio de Recebimento de Serviços - SEMDES</w:t>
      </w:r>
      <w:r>
        <w:rPr>
          <w:rFonts w:hint="default" w:ascii="Arial" w:hAnsi="Arial" w:cs="Arial"/>
          <w:i w:val="0"/>
          <w:iCs w:val="0"/>
          <w:caps w:val="0"/>
          <w:color w:val="000000"/>
          <w:spacing w:val="0"/>
          <w:sz w:val="24"/>
          <w:szCs w:val="24"/>
          <w:shd w:val="clear" w:fill="FFFFFF"/>
          <w:vertAlign w:val="baseline"/>
        </w:rPr>
        <w:t>, em prazo não superior a 05 (cinco) dias corridos. O recebimento provisório será comprovado pelo carimbo de certifico aposto no verso da nota fiscal devidamente chancelado e identificado. O recebimento provisório NÃO liquida a despesa e NÃO se presta para autorizar o pagamento dos bens. A comissão irá lavrar o termo de recebimento provisório, para efeito de posterior verificação da conformidade dos produtos com as especificações da aquisição;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5.11.2 A comissão</w:t>
      </w:r>
      <w:r>
        <w:rPr>
          <w:rFonts w:hint="default" w:ascii="Arial" w:hAnsi="Arial" w:cs="Arial"/>
          <w:b/>
          <w:bCs/>
          <w:i w:val="0"/>
          <w:iCs w:val="0"/>
          <w:caps w:val="0"/>
          <w:color w:val="000000"/>
          <w:spacing w:val="0"/>
          <w:sz w:val="24"/>
          <w:szCs w:val="24"/>
          <w:shd w:val="clear" w:fill="FFFFFF"/>
          <w:vertAlign w:val="baseline"/>
        </w:rPr>
        <w:t xml:space="preserve"> </w:t>
      </w:r>
      <w:r>
        <w:rPr>
          <w:rFonts w:hint="default" w:ascii="Arial" w:hAnsi="Arial" w:cs="Arial"/>
          <w:i w:val="0"/>
          <w:iCs w:val="0"/>
          <w:caps w:val="0"/>
          <w:color w:val="000000"/>
          <w:spacing w:val="0"/>
          <w:sz w:val="24"/>
          <w:szCs w:val="24"/>
          <w:shd w:val="clear" w:fill="FFFFFF"/>
          <w:vertAlign w:val="baseline"/>
        </w:rPr>
        <w:t xml:space="preserve">fiscalizará a entrega </w:t>
      </w:r>
      <w:r>
        <w:rPr>
          <w:rFonts w:hint="default" w:ascii="Arial" w:hAnsi="Arial" w:cs="Arial"/>
          <w:b/>
          <w:bCs/>
          <w:i/>
          <w:iCs/>
          <w:caps w:val="0"/>
          <w:color w:val="000000"/>
          <w:spacing w:val="0"/>
          <w:sz w:val="24"/>
          <w:szCs w:val="24"/>
          <w:shd w:val="clear" w:fill="FFFFFF"/>
          <w:vertAlign w:val="baseline"/>
        </w:rPr>
        <w:t>podendo sustar ou recusar o(s) serviços(is) entregue(s) em desacordo</w:t>
      </w:r>
      <w:r>
        <w:rPr>
          <w:rFonts w:hint="default" w:ascii="Arial" w:hAnsi="Arial" w:cs="Arial"/>
          <w:i w:val="0"/>
          <w:iCs w:val="0"/>
          <w:caps w:val="0"/>
          <w:color w:val="000000"/>
          <w:spacing w:val="0"/>
          <w:sz w:val="24"/>
          <w:szCs w:val="24"/>
          <w:shd w:val="clear" w:fill="FFFFFF"/>
          <w:vertAlign w:val="baseline"/>
        </w:rPr>
        <w:t xml:space="preserve"> com a especificação apresentada;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5.11.3 A comissão deverá comunicar e notificar por escrito e de forma tempestiva, à(s) CONTRATADA(s) sobre qualquer ocorrência relacionada com a entrega dos serviços e ou nota fiscal.</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5.11.4 O recebimento suprarreferido dar-se-á através de recibo aposto na nota fiscal/fatura, quando da sua entrega;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xml:space="preserve">5.11.5 </w:t>
      </w:r>
      <w:r>
        <w:rPr>
          <w:rFonts w:hint="default" w:ascii="Arial" w:hAnsi="Arial" w:cs="Arial"/>
          <w:b/>
          <w:bCs/>
          <w:i w:val="0"/>
          <w:iCs w:val="0"/>
          <w:caps w:val="0"/>
          <w:color w:val="000000"/>
          <w:spacing w:val="0"/>
          <w:sz w:val="24"/>
          <w:szCs w:val="24"/>
          <w:shd w:val="clear" w:fill="FFFFFF"/>
          <w:vertAlign w:val="baseline"/>
        </w:rPr>
        <w:t>Definitivamente</w:t>
      </w:r>
      <w:r>
        <w:rPr>
          <w:rFonts w:hint="default" w:ascii="Arial" w:hAnsi="Arial" w:cs="Arial"/>
          <w:i w:val="0"/>
          <w:iCs w:val="0"/>
          <w:caps w:val="0"/>
          <w:color w:val="000000"/>
          <w:spacing w:val="0"/>
          <w:sz w:val="24"/>
          <w:szCs w:val="24"/>
          <w:shd w:val="clear" w:fill="FFFFFF"/>
          <w:vertAlign w:val="baseline"/>
        </w:rPr>
        <w:t xml:space="preserve"> (art. 73, II, b, da Lei 8.666/93) - que consiste na verificação da qualidade e quantidade dos bens e de sua aceitação, será firmado pela </w:t>
      </w:r>
      <w:r>
        <w:rPr>
          <w:rFonts w:hint="default" w:ascii="Arial" w:hAnsi="Arial" w:cs="Arial"/>
          <w:b/>
          <w:bCs/>
          <w:i/>
          <w:iCs/>
          <w:caps w:val="0"/>
          <w:color w:val="000000"/>
          <w:spacing w:val="0"/>
          <w:sz w:val="24"/>
          <w:szCs w:val="24"/>
          <w:shd w:val="clear" w:fill="FFFFFF"/>
          <w:vertAlign w:val="baseline"/>
        </w:rPr>
        <w:t>Comissão de Apoio de Recebimento de Serviços - SEMDES</w:t>
      </w:r>
      <w:r>
        <w:rPr>
          <w:rFonts w:hint="default" w:ascii="Arial" w:hAnsi="Arial" w:cs="Arial"/>
          <w:i w:val="0"/>
          <w:iCs w:val="0"/>
          <w:caps w:val="0"/>
          <w:color w:val="000000"/>
          <w:spacing w:val="0"/>
          <w:sz w:val="24"/>
          <w:szCs w:val="24"/>
          <w:shd w:val="clear" w:fill="FFFFFF"/>
          <w:vertAlign w:val="baseline"/>
        </w:rPr>
        <w:t>, que expedirá recibo próprio (termo de recebimento definitivo), em prazo não superior a 15 (quinze) dias corridos, salvo caso devidamente justificado, liquidando a despesa, comprovando a adequação do objeto nos termos contratuais e consequente aceitação mediante a termo de recebimento definitivo;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xml:space="preserve">5.12 O recebimento definitivo dar-se-á mediante a </w:t>
      </w:r>
      <w:r>
        <w:rPr>
          <w:rFonts w:hint="default" w:ascii="Arial" w:hAnsi="Arial" w:cs="Arial"/>
          <w:b/>
          <w:bCs/>
          <w:i w:val="0"/>
          <w:iCs w:val="0"/>
          <w:caps w:val="0"/>
          <w:color w:val="000000"/>
          <w:spacing w:val="0"/>
          <w:sz w:val="24"/>
          <w:szCs w:val="24"/>
          <w:shd w:val="clear" w:fill="FFFFFF"/>
          <w:vertAlign w:val="baseline"/>
        </w:rPr>
        <w:t>termo de recebimento definitivo</w:t>
      </w:r>
      <w:r>
        <w:rPr>
          <w:rFonts w:hint="default" w:ascii="Arial" w:hAnsi="Arial" w:cs="Arial"/>
          <w:i w:val="0"/>
          <w:iCs w:val="0"/>
          <w:caps w:val="0"/>
          <w:color w:val="000000"/>
          <w:spacing w:val="0"/>
          <w:sz w:val="24"/>
          <w:szCs w:val="24"/>
          <w:shd w:val="clear" w:fill="FFFFFF"/>
          <w:vertAlign w:val="baseline"/>
        </w:rPr>
        <w:t xml:space="preserve"> e posterior certificação na Nota Fiscal, autorizando assim o pagamento.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5.13 Se, após o recebimento provisório, for constatado que os serviços foram entregues de forma incompleta ou em desacordo com as especificações dos serviços, após a notificação do contratado, será interrompido o prazo de recebimento definitivo e suspenso o prazo de pagamento até que seja sanada a situação;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5.14 A contratada deverá reparar, corrigir, remover, reconstituir ou substituir, às suas expensas, os serviços que forem rejeitados, parcial ou totalmente, por apresentarem vícios, defeitos ou incorreções, no prazo máximo de 10 (dez) dias (Art. 69º, lei 8.666/93).</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5.15 Em todo caso de devolução ou extravio do bem, a empresa contratada será responsável pelos custos com fretes, carretos, seguro e tributos, se ocorrerem;</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5.16 Só será reconhecida a entrega como realizada se os quantitativos dos itens da nota fiscal forem aceitos. Se algum bem constante da mesma for recusado, a nota ficará esperando regularização e a data de entrega será a data do fechamento do empenho com a entrega de todos os itens conforme solicitado;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5.17</w:t>
      </w:r>
      <w:r>
        <w:rPr>
          <w:rFonts w:hint="default" w:ascii="Arial" w:hAnsi="Arial" w:cs="Arial"/>
          <w:b/>
          <w:bCs/>
          <w:i w:val="0"/>
          <w:iCs w:val="0"/>
          <w:caps w:val="0"/>
          <w:color w:val="000000"/>
          <w:spacing w:val="0"/>
          <w:sz w:val="24"/>
          <w:szCs w:val="24"/>
          <w:shd w:val="clear" w:fill="FFFFFF"/>
          <w:vertAlign w:val="baseline"/>
        </w:rPr>
        <w:t xml:space="preserve"> </w:t>
      </w:r>
      <w:r>
        <w:rPr>
          <w:rFonts w:hint="default" w:ascii="Arial" w:hAnsi="Arial" w:cs="Arial"/>
          <w:i w:val="0"/>
          <w:iCs w:val="0"/>
          <w:caps w:val="0"/>
          <w:color w:val="000000"/>
          <w:spacing w:val="0"/>
          <w:sz w:val="24"/>
          <w:szCs w:val="24"/>
          <w:shd w:val="clear" w:fill="FFFFFF"/>
          <w:vertAlign w:val="baseline"/>
        </w:rPr>
        <w:t>A comissão de recebimento da secretaria citada acima, se necessário pode e deve solicitar no ato do recebimento dos serviços, ou posterior ao mesmo, um especialista capacitado na área proponente, para atestar a veracidade dos aspectos físicos e da qualidade dos produtos.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5.18 O recebimento provisório ou definitivo não exclui a responsabilidade civil do contratado em face da eventual existência de vícios redibitórios.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xml:space="preserve">6. </w:t>
      </w:r>
      <w:r>
        <w:rPr>
          <w:rFonts w:hint="default" w:ascii="Arial" w:hAnsi="Arial" w:cs="Arial"/>
          <w:b/>
          <w:bCs/>
          <w:i w:val="0"/>
          <w:iCs w:val="0"/>
          <w:caps w:val="0"/>
          <w:color w:val="000000"/>
          <w:spacing w:val="0"/>
          <w:sz w:val="24"/>
          <w:szCs w:val="24"/>
          <w:shd w:val="clear" w:fill="FFFFFF"/>
          <w:vertAlign w:val="baseline"/>
        </w:rPr>
        <w:t>DOS QUANTITATIVOS E VALOR ESTIMADO PARA A CONTRATAÇÃO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6.1 O quantitativo a ser adquirido é relativo ao número de veículos disponíveis na frota da SEMDES.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6.1.2 Os preços médios unitários dos produtos objeto do presente Termo de Referência é através de cotações realizadas junto as empresas do ramo.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7.</w:t>
      </w:r>
      <w:r>
        <w:rPr>
          <w:rFonts w:hint="default" w:ascii="Arial" w:hAnsi="Arial" w:cs="Arial"/>
          <w:b/>
          <w:bCs/>
          <w:i w:val="0"/>
          <w:iCs w:val="0"/>
          <w:caps w:val="0"/>
          <w:color w:val="000000"/>
          <w:spacing w:val="0"/>
          <w:sz w:val="24"/>
          <w:szCs w:val="24"/>
          <w:shd w:val="clear" w:fill="FFFFFF"/>
          <w:vertAlign w:val="baseline"/>
        </w:rPr>
        <w:t xml:space="preserve"> DO ENDOSSO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7.1 Acréscimos ou supressões de veículos que se fizerem necessários poderão fazer parte do contrato, por meio de endosso.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7.2 Qualquer alteração, desde que motivada e devidamente justificada a Seguradora da apólice, poderá ser solicitada pelo Setor de Transporte da Secretaria Municipal de Desenvolvimento Social -SEMDES, mediante endosso.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8.</w:t>
      </w:r>
      <w:r>
        <w:rPr>
          <w:rFonts w:hint="default" w:ascii="Arial" w:hAnsi="Arial" w:cs="Arial"/>
          <w:b/>
          <w:bCs/>
          <w:i w:val="0"/>
          <w:iCs w:val="0"/>
          <w:caps w:val="0"/>
          <w:color w:val="000000"/>
          <w:spacing w:val="0"/>
          <w:sz w:val="24"/>
          <w:szCs w:val="24"/>
          <w:shd w:val="clear" w:fill="FFFFFF"/>
          <w:vertAlign w:val="baseline"/>
        </w:rPr>
        <w:t xml:space="preserve"> UTILIZAÇÃO/DESTINO DOS BENS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xml:space="preserve">8.1 Os </w:t>
      </w:r>
      <w:r>
        <w:rPr>
          <w:rFonts w:hint="default" w:ascii="Arial" w:hAnsi="Arial" w:cs="Arial"/>
          <w:b/>
          <w:bCs/>
          <w:i w:val="0"/>
          <w:iCs w:val="0"/>
          <w:caps w:val="0"/>
          <w:color w:val="000000"/>
          <w:spacing w:val="0"/>
          <w:sz w:val="24"/>
          <w:szCs w:val="24"/>
          <w:shd w:val="clear" w:fill="FFFFFF"/>
          <w:vertAlign w:val="baseline"/>
        </w:rPr>
        <w:t>Serviços</w:t>
      </w:r>
      <w:r>
        <w:rPr>
          <w:rFonts w:hint="default" w:ascii="Arial" w:hAnsi="Arial" w:cs="Arial"/>
          <w:i w:val="0"/>
          <w:iCs w:val="0"/>
          <w:caps w:val="0"/>
          <w:color w:val="000000"/>
          <w:spacing w:val="0"/>
          <w:sz w:val="24"/>
          <w:szCs w:val="24"/>
          <w:shd w:val="clear" w:fill="FFFFFF"/>
          <w:vertAlign w:val="baseline"/>
        </w:rPr>
        <w:t xml:space="preserve"> serão utilizados nas Unidades pertencentes à </w:t>
      </w:r>
      <w:r>
        <w:rPr>
          <w:rFonts w:hint="default" w:ascii="Arial" w:hAnsi="Arial" w:cs="Arial"/>
          <w:b/>
          <w:bCs/>
          <w:i w:val="0"/>
          <w:iCs w:val="0"/>
          <w:caps w:val="0"/>
          <w:color w:val="000000"/>
          <w:spacing w:val="0"/>
          <w:sz w:val="24"/>
          <w:szCs w:val="24"/>
          <w:shd w:val="clear" w:fill="FFFFFF"/>
          <w:vertAlign w:val="baseline"/>
        </w:rPr>
        <w:t>Secretária Municipal de Desenvolvimento Social: SEMDES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xml:space="preserve">8.1.2 As Unidades vinculadas à </w:t>
      </w:r>
      <w:r>
        <w:rPr>
          <w:rFonts w:hint="default" w:ascii="Arial" w:hAnsi="Arial" w:cs="Arial"/>
          <w:b/>
          <w:bCs/>
          <w:i w:val="0"/>
          <w:iCs w:val="0"/>
          <w:caps w:val="0"/>
          <w:color w:val="000000"/>
          <w:spacing w:val="0"/>
          <w:sz w:val="24"/>
          <w:szCs w:val="24"/>
          <w:shd w:val="clear" w:fill="FFFFFF"/>
          <w:vertAlign w:val="baseline"/>
        </w:rPr>
        <w:t>SEMDES</w:t>
      </w:r>
      <w:r>
        <w:rPr>
          <w:rFonts w:hint="default" w:ascii="Arial" w:hAnsi="Arial" w:cs="Arial"/>
          <w:i w:val="0"/>
          <w:iCs w:val="0"/>
          <w:caps w:val="0"/>
          <w:color w:val="000000"/>
          <w:spacing w:val="0"/>
          <w:sz w:val="24"/>
          <w:szCs w:val="24"/>
          <w:shd w:val="clear" w:fill="FFFFFF"/>
          <w:vertAlign w:val="baseline"/>
        </w:rPr>
        <w:t xml:space="preserve"> onde os veículos estão destinados constam na tabela abaixo:</w:t>
      </w:r>
    </w:p>
    <w:tbl>
      <w:tblPr>
        <w:tblStyle w:val="12"/>
        <w:tblW w:w="97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844"/>
        <w:gridCol w:w="3371"/>
        <w:gridCol w:w="3649"/>
        <w:gridCol w:w="191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40" w:hRule="atLeast"/>
        </w:trPr>
        <w:tc>
          <w:tcPr>
            <w:tcW w:w="690"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240" w:beforeAutospacing="0" w:after="240" w:afterAutospacing="0" w:line="15" w:lineRule="atLeast"/>
              <w:ind w:left="0" w:right="0"/>
              <w:jc w:val="center"/>
            </w:pPr>
            <w:r>
              <w:rPr>
                <w:rFonts w:hint="default" w:ascii="Arial" w:hAnsi="Arial" w:cs="Arial"/>
                <w:b/>
                <w:bCs/>
                <w:sz w:val="24"/>
                <w:szCs w:val="24"/>
                <w:vertAlign w:val="baseline"/>
              </w:rPr>
              <w:t>ITEM</w:t>
            </w:r>
          </w:p>
        </w:tc>
        <w:tc>
          <w:tcPr>
            <w:tcW w:w="3090"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240" w:beforeAutospacing="0" w:after="240" w:afterAutospacing="0" w:line="15" w:lineRule="atLeast"/>
              <w:ind w:left="0" w:right="0"/>
              <w:jc w:val="center"/>
            </w:pPr>
            <w:r>
              <w:rPr>
                <w:rFonts w:hint="default" w:ascii="Arial" w:hAnsi="Arial" w:cs="Arial"/>
                <w:b/>
                <w:bCs/>
                <w:sz w:val="24"/>
                <w:szCs w:val="24"/>
                <w:vertAlign w:val="baseline"/>
              </w:rPr>
              <w:t>NOME DA UNIDADE</w:t>
            </w:r>
          </w:p>
        </w:tc>
        <w:tc>
          <w:tcPr>
            <w:tcW w:w="3345"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240" w:beforeAutospacing="0" w:after="240" w:afterAutospacing="0" w:line="15" w:lineRule="atLeast"/>
              <w:ind w:left="0" w:right="0"/>
              <w:jc w:val="center"/>
            </w:pPr>
            <w:r>
              <w:rPr>
                <w:rFonts w:hint="default" w:ascii="Arial" w:hAnsi="Arial" w:cs="Arial"/>
                <w:b/>
                <w:bCs/>
                <w:sz w:val="24"/>
                <w:szCs w:val="24"/>
                <w:vertAlign w:val="baseline"/>
              </w:rPr>
              <w:t>MODELO DO VEÍCULO</w:t>
            </w:r>
          </w:p>
        </w:tc>
        <w:tc>
          <w:tcPr>
            <w:tcW w:w="1755"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240" w:beforeAutospacing="0" w:after="240" w:afterAutospacing="0" w:line="15" w:lineRule="atLeast"/>
              <w:ind w:left="0" w:right="0"/>
              <w:jc w:val="center"/>
            </w:pPr>
            <w:r>
              <w:rPr>
                <w:rFonts w:hint="default" w:ascii="Arial" w:hAnsi="Arial" w:cs="Arial"/>
                <w:b/>
                <w:bCs/>
                <w:sz w:val="24"/>
                <w:szCs w:val="24"/>
                <w:vertAlign w:val="baseline"/>
              </w:rPr>
              <w:t>PLACA DO VEÍCULO</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60" w:hRule="atLeast"/>
        </w:trPr>
        <w:tc>
          <w:tcPr>
            <w:tcW w:w="690"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0" w:beforeAutospacing="0" w:after="0" w:afterAutospacing="0" w:line="15" w:lineRule="atLeast"/>
              <w:ind w:left="0" w:right="0"/>
              <w:jc w:val="center"/>
            </w:pPr>
            <w:r>
              <w:rPr>
                <w:rFonts w:hint="default" w:ascii="Arial" w:hAnsi="Arial" w:cs="Arial"/>
                <w:sz w:val="24"/>
                <w:szCs w:val="24"/>
                <w:vertAlign w:val="baseline"/>
              </w:rPr>
              <w:t>1</w:t>
            </w:r>
          </w:p>
        </w:tc>
        <w:tc>
          <w:tcPr>
            <w:tcW w:w="3090"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0" w:beforeAutospacing="0" w:after="0" w:afterAutospacing="0" w:line="15" w:lineRule="atLeast"/>
              <w:ind w:left="0" w:right="0"/>
              <w:jc w:val="center"/>
            </w:pPr>
            <w:r>
              <w:rPr>
                <w:rFonts w:hint="default" w:ascii="Arial" w:hAnsi="Arial" w:cs="Arial"/>
                <w:sz w:val="24"/>
                <w:szCs w:val="24"/>
                <w:vertAlign w:val="baseline"/>
              </w:rPr>
              <w:t>Centro de Referência CRAS</w:t>
            </w:r>
          </w:p>
        </w:tc>
        <w:tc>
          <w:tcPr>
            <w:tcW w:w="3345"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0" w:beforeAutospacing="0" w:after="0" w:afterAutospacing="0" w:line="15" w:lineRule="atLeast"/>
              <w:ind w:left="0" w:right="0"/>
              <w:jc w:val="center"/>
            </w:pPr>
            <w:r>
              <w:rPr>
                <w:rFonts w:hint="default" w:ascii="Arial" w:hAnsi="Arial" w:cs="Arial"/>
                <w:sz w:val="24"/>
                <w:szCs w:val="24"/>
                <w:vertAlign w:val="baseline"/>
              </w:rPr>
              <w:t>Chevrolet Montana ls2</w:t>
            </w:r>
          </w:p>
        </w:tc>
        <w:tc>
          <w:tcPr>
            <w:tcW w:w="1755"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0" w:beforeAutospacing="0" w:after="0" w:afterAutospacing="0" w:line="15" w:lineRule="atLeast"/>
              <w:ind w:left="0" w:right="0"/>
              <w:jc w:val="center"/>
            </w:pPr>
            <w:r>
              <w:rPr>
                <w:rFonts w:hint="default" w:ascii="Arial" w:hAnsi="Arial" w:cs="Arial"/>
                <w:sz w:val="24"/>
                <w:szCs w:val="24"/>
                <w:vertAlign w:val="baseline"/>
              </w:rPr>
              <w:t>QTE-0569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60" w:hRule="atLeast"/>
        </w:trPr>
        <w:tc>
          <w:tcPr>
            <w:tcW w:w="690"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0" w:beforeAutospacing="0" w:after="0" w:afterAutospacing="0" w:line="15" w:lineRule="atLeast"/>
              <w:ind w:left="0" w:right="0"/>
              <w:jc w:val="center"/>
            </w:pPr>
            <w:r>
              <w:rPr>
                <w:rFonts w:hint="default" w:ascii="Arial" w:hAnsi="Arial" w:cs="Arial"/>
                <w:sz w:val="24"/>
                <w:szCs w:val="24"/>
                <w:vertAlign w:val="baseline"/>
              </w:rPr>
              <w:t>2</w:t>
            </w:r>
          </w:p>
        </w:tc>
        <w:tc>
          <w:tcPr>
            <w:tcW w:w="3090"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0" w:beforeAutospacing="0" w:after="0" w:afterAutospacing="0" w:line="15" w:lineRule="atLeast"/>
              <w:ind w:left="0" w:right="0"/>
              <w:jc w:val="center"/>
            </w:pPr>
            <w:r>
              <w:rPr>
                <w:rFonts w:hint="default" w:ascii="Arial" w:hAnsi="Arial" w:cs="Arial"/>
                <w:sz w:val="24"/>
                <w:szCs w:val="24"/>
                <w:vertAlign w:val="baseline"/>
              </w:rPr>
              <w:t>Cadastro Único/Bolsa Família</w:t>
            </w:r>
          </w:p>
        </w:tc>
        <w:tc>
          <w:tcPr>
            <w:tcW w:w="3345"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0" w:beforeAutospacing="0" w:after="0" w:afterAutospacing="0" w:line="15" w:lineRule="atLeast"/>
              <w:ind w:left="0" w:right="0"/>
              <w:jc w:val="center"/>
            </w:pPr>
            <w:r>
              <w:rPr>
                <w:rFonts w:hint="default" w:ascii="Arial" w:hAnsi="Arial" w:cs="Arial"/>
                <w:sz w:val="24"/>
                <w:szCs w:val="24"/>
                <w:vertAlign w:val="baseline"/>
              </w:rPr>
              <w:t>Toyota Hillux CDSR A4FD</w:t>
            </w:r>
          </w:p>
        </w:tc>
        <w:tc>
          <w:tcPr>
            <w:tcW w:w="1755"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0" w:beforeAutospacing="0" w:after="0" w:afterAutospacing="0" w:line="15" w:lineRule="atLeast"/>
              <w:ind w:left="0" w:right="0"/>
              <w:jc w:val="center"/>
            </w:pPr>
            <w:r>
              <w:rPr>
                <w:rFonts w:hint="default" w:ascii="Arial" w:hAnsi="Arial" w:cs="Arial"/>
                <w:sz w:val="24"/>
                <w:szCs w:val="24"/>
                <w:vertAlign w:val="baseline"/>
              </w:rPr>
              <w:t>QTE-3170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60" w:hRule="atLeast"/>
        </w:trPr>
        <w:tc>
          <w:tcPr>
            <w:tcW w:w="690"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0" w:beforeAutospacing="0" w:after="0" w:afterAutospacing="0" w:line="15" w:lineRule="atLeast"/>
              <w:ind w:left="0" w:right="0"/>
              <w:jc w:val="center"/>
            </w:pPr>
            <w:r>
              <w:rPr>
                <w:rFonts w:hint="default" w:ascii="Arial" w:hAnsi="Arial" w:cs="Arial"/>
                <w:sz w:val="24"/>
                <w:szCs w:val="24"/>
                <w:vertAlign w:val="baseline"/>
              </w:rPr>
              <w:t>3</w:t>
            </w:r>
          </w:p>
        </w:tc>
        <w:tc>
          <w:tcPr>
            <w:tcW w:w="3090"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0" w:beforeAutospacing="0" w:after="0" w:afterAutospacing="0" w:line="15" w:lineRule="atLeast"/>
              <w:ind w:left="0" w:right="0"/>
              <w:jc w:val="center"/>
            </w:pPr>
            <w:r>
              <w:rPr>
                <w:rFonts w:hint="default" w:ascii="Arial" w:hAnsi="Arial" w:cs="Arial"/>
                <w:sz w:val="24"/>
                <w:szCs w:val="24"/>
                <w:vertAlign w:val="baseline"/>
              </w:rPr>
              <w:t>Cadastro Único/Bolsa Família</w:t>
            </w:r>
          </w:p>
        </w:tc>
        <w:tc>
          <w:tcPr>
            <w:tcW w:w="3345"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0" w:beforeAutospacing="0" w:after="0" w:afterAutospacing="0" w:line="15" w:lineRule="atLeast"/>
              <w:ind w:left="0" w:right="0"/>
              <w:jc w:val="center"/>
            </w:pPr>
            <w:r>
              <w:rPr>
                <w:rFonts w:hint="default" w:ascii="Arial" w:hAnsi="Arial" w:cs="Arial"/>
                <w:sz w:val="24"/>
                <w:szCs w:val="24"/>
                <w:vertAlign w:val="baseline"/>
              </w:rPr>
              <w:t>Mitsubichi l200 Triton</w:t>
            </w:r>
          </w:p>
          <w:p>
            <w:pPr>
              <w:pStyle w:val="29"/>
              <w:keepNext w:val="0"/>
              <w:keepLines w:val="0"/>
              <w:widowControl/>
              <w:suppressLineNumbers w:val="0"/>
              <w:bidi w:val="0"/>
              <w:spacing w:before="0" w:beforeAutospacing="0" w:after="0" w:afterAutospacing="0" w:line="15" w:lineRule="atLeast"/>
              <w:ind w:left="0" w:right="0"/>
              <w:jc w:val="center"/>
            </w:pPr>
            <w:r>
              <w:rPr>
                <w:rFonts w:hint="default" w:ascii="Arial" w:hAnsi="Arial" w:cs="Arial"/>
                <w:sz w:val="24"/>
                <w:szCs w:val="24"/>
                <w:vertAlign w:val="baseline"/>
              </w:rPr>
              <w:t>3.2D</w:t>
            </w:r>
          </w:p>
        </w:tc>
        <w:tc>
          <w:tcPr>
            <w:tcW w:w="1755"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0" w:beforeAutospacing="0" w:after="0" w:afterAutospacing="0" w:line="15" w:lineRule="atLeast"/>
              <w:ind w:left="0" w:right="0"/>
              <w:jc w:val="center"/>
            </w:pPr>
            <w:r>
              <w:rPr>
                <w:rFonts w:hint="default" w:ascii="Arial" w:hAnsi="Arial" w:cs="Arial"/>
                <w:sz w:val="24"/>
                <w:szCs w:val="24"/>
                <w:vertAlign w:val="baseline"/>
              </w:rPr>
              <w:t>NDO-1508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60" w:hRule="atLeast"/>
        </w:trPr>
        <w:tc>
          <w:tcPr>
            <w:tcW w:w="690"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0" w:beforeAutospacing="0" w:after="0" w:afterAutospacing="0" w:line="15" w:lineRule="atLeast"/>
              <w:ind w:left="0" w:right="0"/>
              <w:jc w:val="center"/>
            </w:pPr>
            <w:r>
              <w:rPr>
                <w:rFonts w:hint="default" w:ascii="Arial" w:hAnsi="Arial" w:cs="Arial"/>
                <w:sz w:val="24"/>
                <w:szCs w:val="24"/>
                <w:vertAlign w:val="baseline"/>
              </w:rPr>
              <w:t>4</w:t>
            </w:r>
          </w:p>
        </w:tc>
        <w:tc>
          <w:tcPr>
            <w:tcW w:w="3090"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0" w:beforeAutospacing="0" w:after="0" w:afterAutospacing="0" w:line="15" w:lineRule="atLeast"/>
              <w:ind w:left="0" w:right="0"/>
              <w:jc w:val="center"/>
            </w:pPr>
            <w:r>
              <w:rPr>
                <w:rFonts w:hint="default" w:ascii="Arial" w:hAnsi="Arial" w:cs="Arial"/>
                <w:sz w:val="24"/>
                <w:szCs w:val="24"/>
                <w:vertAlign w:val="baseline"/>
              </w:rPr>
              <w:t>Centro de Convivência - Idade Viva</w:t>
            </w:r>
          </w:p>
        </w:tc>
        <w:tc>
          <w:tcPr>
            <w:tcW w:w="3345"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0" w:beforeAutospacing="0" w:after="0" w:afterAutospacing="0" w:line="15" w:lineRule="atLeast"/>
              <w:ind w:left="0" w:right="0"/>
              <w:jc w:val="center"/>
            </w:pPr>
            <w:r>
              <w:rPr>
                <w:rFonts w:hint="default" w:ascii="Arial" w:hAnsi="Arial" w:cs="Arial"/>
                <w:sz w:val="24"/>
                <w:szCs w:val="24"/>
                <w:vertAlign w:val="baseline"/>
              </w:rPr>
              <w:t>VW Neobus TH 0 - ônibus</w:t>
            </w:r>
          </w:p>
        </w:tc>
        <w:tc>
          <w:tcPr>
            <w:tcW w:w="1755"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0" w:beforeAutospacing="0" w:after="0" w:afterAutospacing="0" w:line="15" w:lineRule="atLeast"/>
              <w:ind w:left="0" w:right="0"/>
              <w:jc w:val="center"/>
            </w:pPr>
            <w:r>
              <w:rPr>
                <w:rFonts w:hint="default" w:ascii="Arial" w:hAnsi="Arial" w:cs="Arial"/>
                <w:sz w:val="24"/>
                <w:szCs w:val="24"/>
                <w:vertAlign w:val="baseline"/>
              </w:rPr>
              <w:t>PBQ-9E46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60" w:hRule="atLeast"/>
        </w:trPr>
        <w:tc>
          <w:tcPr>
            <w:tcW w:w="690"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0" w:beforeAutospacing="0" w:after="0" w:afterAutospacing="0" w:line="15" w:lineRule="atLeast"/>
              <w:ind w:left="0" w:right="0"/>
              <w:jc w:val="center"/>
            </w:pPr>
            <w:r>
              <w:rPr>
                <w:rFonts w:hint="default" w:ascii="Arial" w:hAnsi="Arial" w:cs="Arial"/>
                <w:sz w:val="24"/>
                <w:szCs w:val="24"/>
                <w:vertAlign w:val="baseline"/>
              </w:rPr>
              <w:t>5</w:t>
            </w:r>
          </w:p>
        </w:tc>
        <w:tc>
          <w:tcPr>
            <w:tcW w:w="3090"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0" w:beforeAutospacing="0" w:after="0" w:afterAutospacing="0" w:line="15" w:lineRule="atLeast"/>
              <w:ind w:left="0" w:right="0"/>
              <w:jc w:val="center"/>
            </w:pPr>
            <w:r>
              <w:rPr>
                <w:rFonts w:hint="default" w:ascii="Arial" w:hAnsi="Arial" w:cs="Arial"/>
                <w:sz w:val="24"/>
                <w:szCs w:val="24"/>
                <w:vertAlign w:val="baseline"/>
              </w:rPr>
              <w:t>Centro de Referência CREAS</w:t>
            </w:r>
          </w:p>
        </w:tc>
        <w:tc>
          <w:tcPr>
            <w:tcW w:w="3345"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0" w:beforeAutospacing="0" w:after="0" w:afterAutospacing="0" w:line="15" w:lineRule="atLeast"/>
              <w:ind w:left="0" w:right="0"/>
              <w:jc w:val="center"/>
            </w:pPr>
            <w:r>
              <w:rPr>
                <w:rFonts w:hint="default" w:ascii="Arial" w:hAnsi="Arial" w:cs="Arial"/>
                <w:sz w:val="24"/>
                <w:szCs w:val="24"/>
                <w:vertAlign w:val="baseline"/>
              </w:rPr>
              <w:t>Toyota Etios HB X VSC M</w:t>
            </w:r>
          </w:p>
        </w:tc>
        <w:tc>
          <w:tcPr>
            <w:tcW w:w="1755"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0" w:beforeAutospacing="0" w:after="0" w:afterAutospacing="0" w:line="15" w:lineRule="atLeast"/>
              <w:ind w:left="0" w:right="0"/>
              <w:jc w:val="center"/>
            </w:pPr>
            <w:r>
              <w:rPr>
                <w:rFonts w:hint="default" w:ascii="Arial" w:hAnsi="Arial" w:cs="Arial"/>
                <w:sz w:val="24"/>
                <w:szCs w:val="24"/>
                <w:vertAlign w:val="baseline"/>
              </w:rPr>
              <w:t>OHS-8I63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0" w:hRule="atLeast"/>
        </w:trPr>
        <w:tc>
          <w:tcPr>
            <w:tcW w:w="690"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0" w:beforeAutospacing="0" w:after="0" w:afterAutospacing="0" w:line="15" w:lineRule="atLeast"/>
              <w:ind w:left="0" w:right="0"/>
              <w:jc w:val="center"/>
            </w:pPr>
            <w:r>
              <w:rPr>
                <w:rFonts w:hint="default" w:ascii="Arial" w:hAnsi="Arial" w:cs="Arial"/>
                <w:sz w:val="24"/>
                <w:szCs w:val="24"/>
                <w:vertAlign w:val="baseline"/>
              </w:rPr>
              <w:t>6</w:t>
            </w:r>
          </w:p>
        </w:tc>
        <w:tc>
          <w:tcPr>
            <w:tcW w:w="3090"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0" w:beforeAutospacing="0" w:after="0" w:afterAutospacing="0" w:line="15" w:lineRule="atLeast"/>
              <w:ind w:left="0" w:right="0"/>
              <w:jc w:val="center"/>
            </w:pPr>
            <w:r>
              <w:rPr>
                <w:rFonts w:hint="default" w:ascii="Arial" w:hAnsi="Arial" w:cs="Arial"/>
                <w:sz w:val="24"/>
                <w:szCs w:val="24"/>
                <w:vertAlign w:val="baseline"/>
              </w:rPr>
              <w:t>SEMDES</w:t>
            </w:r>
          </w:p>
        </w:tc>
        <w:tc>
          <w:tcPr>
            <w:tcW w:w="3345"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0" w:beforeAutospacing="0" w:after="0" w:afterAutospacing="0" w:line="15" w:lineRule="atLeast"/>
              <w:ind w:left="0" w:right="0"/>
              <w:jc w:val="center"/>
            </w:pPr>
            <w:r>
              <w:rPr>
                <w:rFonts w:hint="default" w:ascii="Arial" w:hAnsi="Arial" w:cs="Arial"/>
                <w:sz w:val="24"/>
                <w:szCs w:val="24"/>
                <w:vertAlign w:val="baseline"/>
              </w:rPr>
              <w:t>Chevrolet Spin 1.8 MT/LT</w:t>
            </w:r>
          </w:p>
        </w:tc>
        <w:tc>
          <w:tcPr>
            <w:tcW w:w="1755"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0" w:beforeAutospacing="0" w:after="0" w:afterAutospacing="0" w:line="15" w:lineRule="atLeast"/>
              <w:ind w:left="0" w:right="0"/>
              <w:jc w:val="center"/>
            </w:pPr>
            <w:r>
              <w:rPr>
                <w:rFonts w:hint="default" w:ascii="Arial" w:hAnsi="Arial" w:cs="Arial"/>
                <w:sz w:val="24"/>
                <w:szCs w:val="24"/>
                <w:vertAlign w:val="baseline"/>
              </w:rPr>
              <w:t>QTD-6C17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0" w:hRule="atLeast"/>
        </w:trPr>
        <w:tc>
          <w:tcPr>
            <w:tcW w:w="690"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0" w:beforeAutospacing="0" w:after="0" w:afterAutospacing="0" w:line="15" w:lineRule="atLeast"/>
              <w:ind w:left="0" w:right="0"/>
              <w:jc w:val="center"/>
            </w:pPr>
            <w:r>
              <w:rPr>
                <w:rFonts w:hint="default" w:ascii="Arial" w:hAnsi="Arial" w:cs="Arial"/>
                <w:sz w:val="24"/>
                <w:szCs w:val="24"/>
                <w:vertAlign w:val="baseline"/>
              </w:rPr>
              <w:t>7</w:t>
            </w:r>
          </w:p>
        </w:tc>
        <w:tc>
          <w:tcPr>
            <w:tcW w:w="3090"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0" w:beforeAutospacing="0" w:after="0" w:afterAutospacing="0" w:line="15" w:lineRule="atLeast"/>
              <w:ind w:left="0" w:right="0"/>
              <w:jc w:val="center"/>
            </w:pPr>
            <w:r>
              <w:rPr>
                <w:rFonts w:hint="default" w:ascii="Arial" w:hAnsi="Arial" w:cs="Arial"/>
                <w:sz w:val="24"/>
                <w:szCs w:val="24"/>
                <w:vertAlign w:val="baseline"/>
              </w:rPr>
              <w:t>Conselho Tutelar</w:t>
            </w:r>
          </w:p>
        </w:tc>
        <w:tc>
          <w:tcPr>
            <w:tcW w:w="3345"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0" w:beforeAutospacing="0" w:after="0" w:afterAutospacing="0" w:line="15" w:lineRule="atLeast"/>
              <w:ind w:left="0" w:right="0"/>
              <w:jc w:val="center"/>
            </w:pPr>
            <w:r>
              <w:rPr>
                <w:rFonts w:hint="default" w:ascii="Arial" w:hAnsi="Arial" w:cs="Arial"/>
                <w:sz w:val="24"/>
                <w:szCs w:val="24"/>
                <w:vertAlign w:val="baseline"/>
              </w:rPr>
              <w:t>Fiat Uno 1.0</w:t>
            </w:r>
          </w:p>
        </w:tc>
        <w:tc>
          <w:tcPr>
            <w:tcW w:w="1755" w:type="dxa"/>
            <w:tcBorders>
              <w:top w:val="single" w:color="000000" w:sz="2" w:space="0"/>
              <w:left w:val="single" w:color="000000" w:sz="2" w:space="0"/>
              <w:bottom w:val="single" w:color="000000" w:sz="2" w:space="0"/>
              <w:right w:val="single" w:color="000000" w:sz="2" w:space="0"/>
            </w:tcBorders>
            <w:shd w:val="clear" w:color="auto" w:fill="auto"/>
            <w:tcMar>
              <w:top w:w="100" w:type="dxa"/>
              <w:left w:w="100" w:type="dxa"/>
              <w:bottom w:w="100" w:type="dxa"/>
              <w:right w:w="100" w:type="dxa"/>
            </w:tcMar>
            <w:vAlign w:val="top"/>
          </w:tcPr>
          <w:p>
            <w:pPr>
              <w:pStyle w:val="29"/>
              <w:keepNext w:val="0"/>
              <w:keepLines w:val="0"/>
              <w:widowControl/>
              <w:suppressLineNumbers w:val="0"/>
              <w:bidi w:val="0"/>
              <w:spacing w:before="0" w:beforeAutospacing="0" w:after="0" w:afterAutospacing="0" w:line="15" w:lineRule="atLeast"/>
              <w:ind w:left="0" w:right="0"/>
              <w:jc w:val="center"/>
            </w:pPr>
            <w:r>
              <w:rPr>
                <w:rFonts w:hint="default" w:ascii="Arial" w:hAnsi="Arial" w:cs="Arial"/>
                <w:sz w:val="24"/>
                <w:szCs w:val="24"/>
                <w:vertAlign w:val="baseline"/>
              </w:rPr>
              <w:t>QTH-6C78</w:t>
            </w:r>
          </w:p>
        </w:tc>
      </w:tr>
    </w:tbl>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8.1.3 O Seguro total a ser contratado é inicialmente para 07 (sete) veículos da SEMDES, conforme especificação e discriminação no item 3.</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8.1.4 A emissão de apólice poderá ser de forma coletiva ou individualizada, com abrangência de cobertura em todo o território nacional.</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8.1.5 A entrega deverá ocorrer</w:t>
      </w:r>
      <w:r>
        <w:rPr>
          <w:rFonts w:hint="default" w:ascii="Arial" w:hAnsi="Arial" w:cs="Arial"/>
          <w:b/>
          <w:bCs/>
          <w:i w:val="0"/>
          <w:iCs w:val="0"/>
          <w:caps w:val="0"/>
          <w:color w:val="000000"/>
          <w:spacing w:val="0"/>
          <w:sz w:val="24"/>
          <w:szCs w:val="24"/>
          <w:shd w:val="clear" w:fill="FFFFFF"/>
          <w:vertAlign w:val="baseline"/>
        </w:rPr>
        <w:t xml:space="preserve"> uma única vez</w:t>
      </w:r>
      <w:r>
        <w:rPr>
          <w:rFonts w:hint="default" w:ascii="Arial" w:hAnsi="Arial" w:cs="Arial"/>
          <w:i w:val="0"/>
          <w:iCs w:val="0"/>
          <w:caps w:val="0"/>
          <w:color w:val="000000"/>
          <w:spacing w:val="0"/>
          <w:sz w:val="24"/>
          <w:szCs w:val="24"/>
          <w:shd w:val="clear" w:fill="FFFFFF"/>
          <w:vertAlign w:val="baseline"/>
        </w:rPr>
        <w:t>, no prazo máximo de 30 (trinta) dias após emissão da nota de empenho ou ordem de fornecimento encaminhado em à CONTRATADA;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xml:space="preserve">8.1.6 A </w:t>
      </w:r>
      <w:r>
        <w:rPr>
          <w:rFonts w:hint="default" w:ascii="Arial" w:hAnsi="Arial" w:cs="Arial"/>
          <w:b/>
          <w:bCs/>
          <w:i/>
          <w:iCs/>
          <w:caps w:val="0"/>
          <w:color w:val="000000"/>
          <w:spacing w:val="0"/>
          <w:sz w:val="24"/>
          <w:szCs w:val="24"/>
          <w:shd w:val="clear" w:fill="FFFFFF"/>
          <w:vertAlign w:val="baseline"/>
        </w:rPr>
        <w:t>Comissão de Apoio de Recebimento de Serviços - SEMDES</w:t>
      </w:r>
      <w:r>
        <w:rPr>
          <w:rFonts w:hint="default" w:ascii="Arial" w:hAnsi="Arial" w:cs="Arial"/>
          <w:i w:val="0"/>
          <w:iCs w:val="0"/>
          <w:caps w:val="0"/>
          <w:color w:val="000000"/>
          <w:spacing w:val="0"/>
          <w:sz w:val="24"/>
          <w:szCs w:val="24"/>
          <w:shd w:val="clear" w:fill="FFFFFF"/>
          <w:vertAlign w:val="baseline"/>
        </w:rPr>
        <w:t>, inserida na estrutura da SEMDES, nomeada através da portaria n.º 001/PGM/2021, fiscalizará o recebimento dos serviços e verificará o cumprimento das especificações solicitadas, no todo ou em parte, no sentido de corresponderem ao desejado ou especificado.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8.1.7 A fiscalização pela CONTRATANTE</w:t>
      </w:r>
      <w:r>
        <w:rPr>
          <w:rFonts w:hint="default" w:ascii="Arial" w:hAnsi="Arial" w:cs="Arial"/>
          <w:b/>
          <w:bCs/>
          <w:i w:val="0"/>
          <w:iCs w:val="0"/>
          <w:caps w:val="0"/>
          <w:color w:val="000000"/>
          <w:spacing w:val="0"/>
          <w:sz w:val="24"/>
          <w:szCs w:val="24"/>
          <w:shd w:val="clear" w:fill="FFFFFF"/>
          <w:vertAlign w:val="baseline"/>
        </w:rPr>
        <w:t xml:space="preserve">, </w:t>
      </w:r>
      <w:r>
        <w:rPr>
          <w:rFonts w:hint="default" w:ascii="Arial" w:hAnsi="Arial" w:cs="Arial"/>
          <w:i w:val="0"/>
          <w:iCs w:val="0"/>
          <w:caps w:val="0"/>
          <w:color w:val="000000"/>
          <w:spacing w:val="0"/>
          <w:sz w:val="24"/>
          <w:szCs w:val="24"/>
          <w:shd w:val="clear" w:fill="FFFFFF"/>
          <w:vertAlign w:val="baseline"/>
        </w:rPr>
        <w:t>não desobriga a CONTRATADA de sua responsabilidade quanto à perfeita execução do objeto deste instrumento;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8.1.8 A ausência de comunicação por parte da CONTRATANTE</w:t>
      </w:r>
      <w:r>
        <w:rPr>
          <w:rFonts w:hint="default" w:ascii="Arial" w:hAnsi="Arial" w:cs="Arial"/>
          <w:b/>
          <w:bCs/>
          <w:i w:val="0"/>
          <w:iCs w:val="0"/>
          <w:caps w:val="0"/>
          <w:color w:val="000000"/>
          <w:spacing w:val="0"/>
          <w:sz w:val="24"/>
          <w:szCs w:val="24"/>
          <w:shd w:val="clear" w:fill="FFFFFF"/>
          <w:vertAlign w:val="baseline"/>
        </w:rPr>
        <w:t xml:space="preserve"> </w:t>
      </w:r>
      <w:r>
        <w:rPr>
          <w:rFonts w:hint="default" w:ascii="Arial" w:hAnsi="Arial" w:cs="Arial"/>
          <w:i w:val="0"/>
          <w:iCs w:val="0"/>
          <w:caps w:val="0"/>
          <w:color w:val="000000"/>
          <w:spacing w:val="0"/>
          <w:sz w:val="24"/>
          <w:szCs w:val="24"/>
          <w:shd w:val="clear" w:fill="FFFFFF"/>
          <w:vertAlign w:val="baseline"/>
        </w:rPr>
        <w:t>referente a irregularidades ou falhas, não exime a CONTRATADA</w:t>
      </w:r>
      <w:r>
        <w:rPr>
          <w:rFonts w:hint="default" w:ascii="Arial" w:hAnsi="Arial" w:cs="Arial"/>
          <w:b/>
          <w:bCs/>
          <w:i w:val="0"/>
          <w:iCs w:val="0"/>
          <w:caps w:val="0"/>
          <w:color w:val="000000"/>
          <w:spacing w:val="0"/>
          <w:sz w:val="24"/>
          <w:szCs w:val="24"/>
          <w:shd w:val="clear" w:fill="FFFFFF"/>
          <w:vertAlign w:val="baseline"/>
        </w:rPr>
        <w:t xml:space="preserve"> </w:t>
      </w:r>
      <w:r>
        <w:rPr>
          <w:rFonts w:hint="default" w:ascii="Arial" w:hAnsi="Arial" w:cs="Arial"/>
          <w:i w:val="0"/>
          <w:iCs w:val="0"/>
          <w:caps w:val="0"/>
          <w:color w:val="000000"/>
          <w:spacing w:val="0"/>
          <w:sz w:val="24"/>
          <w:szCs w:val="24"/>
          <w:shd w:val="clear" w:fill="FFFFFF"/>
          <w:vertAlign w:val="baseline"/>
        </w:rPr>
        <w:t>das responsabilidades previstas na lei federal 8.666/93.</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9.</w:t>
      </w:r>
      <w:r>
        <w:rPr>
          <w:rFonts w:hint="default" w:ascii="Arial" w:hAnsi="Arial" w:cs="Arial"/>
          <w:b/>
          <w:bCs/>
          <w:i w:val="0"/>
          <w:iCs w:val="0"/>
          <w:caps w:val="0"/>
          <w:color w:val="000000"/>
          <w:spacing w:val="0"/>
          <w:sz w:val="24"/>
          <w:szCs w:val="24"/>
          <w:shd w:val="clear" w:fill="FFFFFF"/>
          <w:vertAlign w:val="baseline"/>
        </w:rPr>
        <w:t xml:space="preserve"> DO ACOMPANHAMENTO E FISCALIZAÇÃO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9.1 O cumprimento das obrigações constantes nas apólices de seguro será acompanhado e fiscalizado, em todos os seus termos, pelo Gestor do Contrato e/ou por fiscal designado, ou, em seu afastamento legal, por seu substituto, representando sempre os interesses da Contratante.</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9.2 O fiscal do contrato anotará, em registro próprio, todas as ocorrências relacionadas com a execução dos serviços, objeto deste Termo de Referência, determinando o que for necessário à regularização das falhas ou impropriedades observadas.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9.3 As decisões e providências que ultrapassarem a competência do fiscal, deverão ser solicitadas ao seu superior, em tempo hábil, para adoção das medidas convenientes.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9.4 Além do acompanhamento e da fiscalização da execução dos serviços, o gestor/fiscal poderá, ainda, sustar qualquer serviço que, por ocasião de sinistro, esteja sendo executado em desacordo com a boa técnica, sempre que essa medida se tornar necessária.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9.5 A CONTRATANTE nomeará também uma Comissão de no mínimo 3 (três) servidores que fiscalizarão a execução do serviço contratado e verificarão o cumprimento das especificações solicitadas, no todo ou em parte, no sentido de corresponderem ao desejado ou especificado.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xml:space="preserve">10. </w:t>
      </w:r>
      <w:r>
        <w:rPr>
          <w:rFonts w:hint="default" w:ascii="Arial" w:hAnsi="Arial" w:cs="Arial"/>
          <w:b/>
          <w:bCs/>
          <w:i w:val="0"/>
          <w:iCs w:val="0"/>
          <w:caps w:val="0"/>
          <w:color w:val="000000"/>
          <w:spacing w:val="0"/>
          <w:sz w:val="24"/>
          <w:szCs w:val="24"/>
          <w:shd w:val="clear" w:fill="FFFFFF"/>
          <w:vertAlign w:val="baseline"/>
        </w:rPr>
        <w:t>VISTORIA PARA A LICITAÇÃO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10.1 É facultativo às empresas a realização de vistoria dos veículos a serem segurados, caso decidirem por vistoriar poderão comparecer na Secretaria Municipal de Desenvolvimento Social - SEMDES, situada a Avenida Jamari, 4615 - Setor 02, na cidade de Ariquemes/Rondônia, de segunda a sexta-feira, no horário das 7h30 às 13h30.</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10.2 A data para vistoria deve ser agendada com antecedência mínima de 48 (quarenta e oito) horas por meio do telefone (69) 3536-0206.</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10.3 A vistoria dos veículos constantes no item 3.2.1 deste Termo de Referência, será acompanhada por servidor da contratante.</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10.4 Em caso de agendamento este só poderá acontecer até o último dia útil que antecede a data de início do certame, tendo em vista a natureza do objeto da presente contratação para comprovar as especificações dos veículos que servirão de base para a completa formulação das propostas de preço por parte dos licitantes.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xml:space="preserve">10.5 Após esse dar-se-á, por todos os concorrentes, o aceite das condições em que se encontram os referidos veículos, </w:t>
      </w:r>
      <w:r>
        <w:rPr>
          <w:rFonts w:hint="default" w:ascii="Arial" w:hAnsi="Arial" w:cs="Arial"/>
          <w:b/>
          <w:bCs/>
          <w:i w:val="0"/>
          <w:iCs w:val="0"/>
          <w:caps w:val="0"/>
          <w:color w:val="000000"/>
          <w:spacing w:val="0"/>
          <w:sz w:val="24"/>
          <w:szCs w:val="24"/>
          <w:shd w:val="clear" w:fill="FFFFFF"/>
          <w:vertAlign w:val="baseline"/>
        </w:rPr>
        <w:t>e será desconsiderada qualquer cláusula de avaria assumindo a empresa contratada a responsabilidade a partir da contratação</w:t>
      </w:r>
      <w:r>
        <w:rPr>
          <w:rFonts w:hint="default" w:ascii="Arial" w:hAnsi="Arial" w:cs="Arial"/>
          <w:i w:val="0"/>
          <w:iCs w:val="0"/>
          <w:caps w:val="0"/>
          <w:color w:val="000000"/>
          <w:spacing w:val="0"/>
          <w:sz w:val="24"/>
          <w:szCs w:val="24"/>
          <w:shd w:val="clear" w:fill="FFFFFF"/>
          <w:vertAlign w:val="baseline"/>
        </w:rPr>
        <w:t>.</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10.6 As empresas que decidirem realizar vistoria, deverão apresentar no ato do procedimento, declaração que vistoriou os veículos, devendo esta ser assinada e carimbada por pessoa responsável pelo acompanhamento, conforme modelo do ANEXO I.</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xml:space="preserve">10.7 O licitante arcará com o ônus de sua avaliação ao proceder com a vistoria, </w:t>
      </w:r>
      <w:r>
        <w:rPr>
          <w:rFonts w:hint="default" w:ascii="Arial" w:hAnsi="Arial" w:cs="Arial"/>
          <w:b/>
          <w:bCs/>
          <w:i w:val="0"/>
          <w:iCs w:val="0"/>
          <w:caps w:val="0"/>
          <w:color w:val="000000"/>
          <w:spacing w:val="0"/>
          <w:sz w:val="24"/>
          <w:szCs w:val="24"/>
          <w:shd w:val="clear" w:fill="FFFFFF"/>
          <w:vertAlign w:val="baseline"/>
        </w:rPr>
        <w:t>ou assumirá a responsabilidade de uma avaliação menos acurada, caso decida não realizá-la</w:t>
      </w:r>
      <w:r>
        <w:rPr>
          <w:rFonts w:hint="default" w:ascii="Arial" w:hAnsi="Arial" w:cs="Arial"/>
          <w:i w:val="0"/>
          <w:iCs w:val="0"/>
          <w:caps w:val="0"/>
          <w:color w:val="000000"/>
          <w:spacing w:val="0"/>
          <w:sz w:val="24"/>
          <w:szCs w:val="24"/>
          <w:shd w:val="clear" w:fill="FFFFFF"/>
          <w:vertAlign w:val="baseline"/>
        </w:rPr>
        <w:t>.</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10.8 O fato de a seguradora interessada em participar do certame deixar de realizar a vistoria não motiva descumprir as obrigações pertinentes a esse objeto, inclusive quanto à cobertura de equipamentos e de acessórios, contudo deve se a responsabilidade assumida no item 4.7.7.</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11. DA PROPOSTA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11.1 Na proposta deverá constar o preço unitário e total para cada item, expressos em moeda corrente nacional, em algarismos e por extenso, nele incluídas todas as despesas com impostos, taxas, seguro, frete e embalagem, depreciação, emolumentos e quaisquer outros custos que, direta ou indiretamente venha ocorrer;</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11.2 O critério de julgamento das propostas será de MENOR PREÇO POR ITEM, em conformidade com o estabelecido no ato convocatório pela Comissão de Licitação, de acordo com a Lei nº 8.666, de 21 de junho de 1993 e suas alterações, permitindo ampliação da competição e favorecendo a obtenção da proposta mais vantajosa para Administração, com vistas ao melhor aproveitamento dos recursos disponíveis no mercado.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11.3 A demanda do órgão refere-se a frota atual de veículos pertencentes a SEMDES Secretaria Municipal de Desenvolvimento Social.</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11.4 A franquia considerada neste Termo de Referência é obrigatória.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11.5 A franquia de casco deverá ser fixa para cada veículo.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11.6 O valor da franquia deverá constar obrigatoriamente na proposta da empresa vencedora. A sua efetiva contratação e pagamento somente ocorrerá quando do registro de sinistro junto à seguradora.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11.7 Garantias do seguro: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11.7.1 Garantia a veículos terceiros danos materiais e corporais de terceiros;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11.7.2 Garantia de danos materiais ao veículo;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11.7.3 Garantia de roubo/furto e incêndio do veículo;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11.7.4 Garantia de indenização nos casos de:</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11.7.4.1 Colisão com veículos, pessoas ou animais, abalroamento ou capotamento envolvendo direta ou indiretamente o bem segurado;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11.7.4.2 Queda acidental de precipícios ou pontes;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11.7.4.3 Queda acidental sobre o veículo por qualquer agente que não faça parte integrante do mesmo;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11.7.4.4 Incêndio e explosão acidental, raio e suas consequências;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11.7.4.5 Acidente durante o transporte por qualquer meio apropriado;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11.7.4.6 Atos danosos praticados por terceiros, exceto aqueles não indenizáveis regulamentados pela SUSEP;</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11.7.4.7 Submersão parcial ou total de veículo em água doce proveniente de enchentes ou inundações, inclusive nos casos de veículos guardados em subsolo;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11.7.4.8 Roubo ou furto total do veículo, bem como os danos causados por tentativas de roubos ou furtos, incluindo vidros;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11.7.4.9 Quebra de para-brisa total ou parcial, faróis e lanternas;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11.7.4.10 Dano por tentativa ou decorrente de roubo ou furto;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11.7.4.11 Incêndio.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11.7.4.12 O serviço executado pelas oficinas indicadas pela seguradora deverá ter a garantia mínima de 03 (três) meses.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11.8 O valor da franquia não deverá exceder o valor máximo admissível conforme valores constante neste Termo de Referência no item 15 . A franquia não se aplicará em caso de danos causados por incêndio, queda de raio/e ou explosão e nos casos de perda total, de acordo com a circular SUSEP n.º 145, de 7 de novembro de 2000.</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11.9 A franquia não será considerada para fins de classificação das propostas, que serão avaliadas exclusivamente em função dos preços (prêmios).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11.10 Os valores das franquias deverão constar obrigatoriamente nas propostas e nas apólices, não excedendo os limites máximos fixados, devendo também ser consideradas as informações e detalhes constantes das mesmas.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11.11 De acordo com análise do veículo e seus devidos bônus, poderão ser ofertadas franquias de valores menores.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xml:space="preserve">11.12 As propostas deverão ser apresentadas sem as cláusulas de perfil do segurado, tendo em vista que os veículos serão conduzidos por diversos motoristas. Entretanto, destacamos que todos possuem a devida Habilitação exigida para a condução do veículo.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12. DOS DOCUMENTOS DE HABILITAÇÃO</w:t>
      </w:r>
      <w:r>
        <w:rPr>
          <w:rFonts w:hint="default" w:ascii="Arial" w:hAnsi="Arial" w:cs="Arial"/>
          <w:i w:val="0"/>
          <w:iCs w:val="0"/>
          <w:caps w:val="0"/>
          <w:color w:val="000000"/>
          <w:spacing w:val="0"/>
          <w:sz w:val="24"/>
          <w:szCs w:val="24"/>
          <w:shd w:val="clear" w:fill="FFFFFF"/>
          <w:vertAlign w:val="baseline"/>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12.1. RELATIVOS À REGULARIDADE FISCAL:</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12.1.1 a) Certidão de Regularidade de Débitos com a Fazenda Federal (da Secretaria da Receita Federal e da Procuradoria da Fazenda Nacional), admitida comprovação também, por meio de certidão positiva com efeito de negativa, diante da existência de débito confesso, parcelado e em fase de adimplemento; (Certidão de Débitos Relativos a Créditos Tributários Federais, Previdenciários e à Dívida Ativa da União, conforme portaria RFB/PGFN nº1751 de 02/10/2014);</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12.1.2 b) Certidão de Regularidade de Débitos com a Fazenda Estadual, admitida comprovação também, por meio de certidão positiva com efeito de negativo, diante da existência de débito confesso, parcelado e em fase de adimplemento;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12.1.3 c) Certidão de Regularidade de Débitos com a Fazenda Municipal, admitida comprovação também, por meio de certidão positiva com efeito de negativo, diante da existência de débito confesso, parcelado e em fase de adimplemento;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12.1.4 d) Certidão de Regularidade do FGTS, admitida comprovação também, por meio de certidão positiva com efeito de negativo, diante da existência de débito confesso, parcelado e em fase de adimplemento;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12.2. RELATIVOS À HABILITAÇÃO JURÍDICA: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12.2.1 a) Ato Constitutivo, Estatuto ou Contrato Social, em vigor, devidamente registrado na Junta Comercial, em se tratando de sociedades comerciais, e, no caso de sociedade por ações, acompanhado de documentos de eleição de seus administradores, para comprovação do ramo de atividade, onde seja compatível com o objeto desta licitação; Ato constitutivo e respectivas alterações, devidamente registrados, acompanhados de prova de investidura da Diretoria em exercício, No caso de sociedade civil.</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12.2.2 b) Registro Comercial, no caso de empresa individual.</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12.2.3 c) Decreto de Autorização, devidamente arquivado em se tratando de empresa ou sociedade estrangeira em funcionamento no País.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12.2.4 d) Cédula de identidade, no caso de pessoa física (quando viável a participação).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12.2.5 e) Declaração de que a empresa não utiliza mão-de-obra direta ou indireta de menores, na forma do art. 27, inciso V, da Lei 8666/93, com a redação dada pela Lei nº. 9.854, de 27 de outubro de 1999.</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xml:space="preserve">12.2.6 f) Declaração de que se compromete a informar a SUPERVENIÊNCIA DE FATO IMPEDITIVO de sua habilitação, nos termos do § 2º do art. 32 da lei 8666/93, observadas as penalidades cabíveis.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12.2.7 Obs: As Declarações exigidas nas alíneas "e" e "f", deverão ser preenchidas junto ao sistema Comprasnet no momento do cadastramento da Proposta de Preços, onde serão consultadas e anexadas aos autos.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12.3. RELATIVOS À QUALIFICAÇÃO ECONÔMICO-FINANCEIRA: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12.3.1 a) Certidão Negativa de Recuperação Judicial  Lei n° 11.101/05 (FALÊNCIA E CONCORDATA) emitida pelo órgão competente, EXPEDIDA NOS ÚLTIMOS 90 (Noventa) dias caso não conste o prazo de validade.</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12.3.2 b) Nas hipótese em que a certidão prevista na alínea anterior encaminhada for positiva, deve a licitante apresentar comprovante da homologação/deferimento pelo juízo competente do plano de recuperação judicial/extrajudicial em vigor, devendo ainda demonstrar que a contratação respeita os limites previstos no seu plano de recuperação.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12.4. RELATIVOS À QUALIFICAÇÃO TÉCNICA: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12.4.1 Apresentação de Atestado de capacidade técnica, emitido por pessoa jurídica de direito público ou privado, da licitante, que comprove a aptidão para o desempenho da atividade, pertinente e compatível em características quantidades e prazos com o objeto de que trata esta licitação;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12.4.2 O atestado de capacidade técnica emitido por pessoa jurídica de direito privado deverá indicar dados da entidade emissora (razão social, CNPJ, endereço, telefone, e-mail, data de emissão) e dos signatários do documento (nome, função, telefone, etc.). Além da descrição detalhada do objeto, quantidades e prazos de fornecimento dos materiais.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12.4.3 Todas as informações prestadas no Atestado de Capacidade Técnica estarão sujeitas a verificação e confirmação de autenticidade, exatidão e veracidade através de diligência, conforme previsto no art. 43, § 3° da Lei nº 8.666/93, sujeitando o emissor às penalidades previstas em lei caso ateste informações inverídicas. Por decisão do Pregoeiro, poderá ser aberto prazo ao licitante para atendimento a diligência, que poderá ser realizada por convocação através do próprio sistema comprasnet.</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12.4.4 - Caso haja necessidade, a Administração reserva-se ao direito de solicitar a apresentação de cópia da (s) Nota (s) Fiscal (is) e correspondentes ao (s) Atestado (s) de Capacidade Técnica apresentado(s).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12.4.5. RELATIVOS À REGULARIDADE TRABALHISTA: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a) Certidão de Regularidade de Débito  CNDT, para comprovar a inexistência de débitos inadimplidos perante a Justiça do Trabalho, admitida comprovação também, por meio de certidão positiva com efeito de negativo, diante da existência de débito confesso, parcelado e em fase de adimplemento.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13. DOS PRAZOS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13.1 PRAZO DE ENTREGA DO OBJETO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13.1.1 O prazo de entrega do OBJETO pela empresa vencedora não será superior a 30 (trinta) dias corridos, contados após recebimento da Nota Empenho;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13.1.2 O fornecimento/entrega deverá ser efetuado mediante nota de empenho, referenciado na requisição e nota fiscal.</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13.1.3 Se o fornecedor vencedor tiver comprovadamente dificuldades para entregar os materiais, dentro do prazo estabelecido, não sofrerá multa, caso informe oficialmente com antecedência de mínimo 05 (cinco) dias úteis, antes de esgotado o prazo inicialmente previsto, apresentando justificativa circunstanciada formal, que deverá ser encaminhada a Secretária Municipal de Desenvolvimento Social do Município de Ariquemes que, por sua vez, decidirá à possibilidade de prorrogação do prazo, ou determinará a cominação das multas cabíveis, que ocorrerá a partir da efetiva notificação;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13.1.4 Depois de esgotado o(s) prazo(s) concedido(s), a Comissão de Recebimento de Materiais e Serviços aplicará a multa por atraso na entrega dos serviços de 0,3%(três décimos por cento) ao dia, até o trigésimo dia de atraso sobre o valor do fornecimento ou serviço não realizado, e 10 % (dez por cento) sobre o valor total ou parcial da obrigação não cumprida, com o consequente cancelamento da nota de empenho ou documento equivalente.</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14. MODELO DE EXECUÇÃO DO OBJETO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14.1 A apólice do seguro deverá vigorar pelo período de 01 (um) ano. A vigência do contrato deverá ser iniciada com o início de vigência das apólices.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14.2 Todos os veículos segurados devem possuir assistência 24 horas com socorro mecânico e guincho em caso de pane ou colisão.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14.3 O aviso de sinistro será realizado por meio do condutor do veículo, através de telefonema à Central da seguradora, em número que deverá constar em cartão, a ser distribuído pela seguradora, sendo um para cada veículo segurado.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14.4 O prazo para atendimento ao veículo sinistrado que necessitar de guincho e/ou encontrar-se vulnerável, de modo a expor o patrimônio a outros riscos, como o de arrombamento, será de até 1 (uma) hora, a contar do telefonema do condutor.</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14.5 O prazo para atendimento ao veículo que necessite de encaminhamento à oficina para reparos será de até 2 (dois) dias úteis.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14.6 Os veículos são utilizados para o transporte de autoridades e servidores;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14.7 Todos os veículos estão em perfeito estado de funcionamento;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14.8 Valor do casco para os veículos com cobertura compreensiva: 100% FIPE. A presente contratação deverá atender aos requisitos especificados neste Termo de Referência, objetivando dar cobertura a eventuais prejuízos causados por eventos estabelecidos como parâmetro da cobertura, bem como, garantir ao contratante Segurado 100% (cem por cento) de indenização ou reembolso de indenizações que for obrigado a pagar, por danos involuntários pessoais e/ou materiais, causados em seu próprio veículo, a terceiros transportados, terceiros não transportados, bem como demais situações causadas pelos veículos segurados, decorrentes de risco aberto.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14.9 As apólices, acompanhadas das respectivas Notas Fiscais, deverão ser entregues na Sede da Secretaria Municipal de Desenvolvimento Social, no prazo máximo de 30 (trinta) dias corridos, contados a partir do recebimento da Nota de Empenho.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15. DA COBERTURA E ASSISTÊNCIA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15.1 O seguro dever ser realizado de acordo com o valor determinado, na modalidade Frota.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15.2 O Tipo de cobertura será Total e/ou compreensiva.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15.3 A importância segurada para cada veículo será determinada pelo valor de mercado constante da tabela FIPE (SITE http://www.fipe.com.br/), observado o tipo de franquia.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15.4 As outras coberturas serão cotadas levando em consideração os valores abaixo.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a)</w:t>
      </w:r>
      <w:r>
        <w:rPr>
          <w:rFonts w:hint="default" w:ascii="Arial" w:hAnsi="Arial" w:cs="Arial"/>
          <w:i w:val="0"/>
          <w:iCs w:val="0"/>
          <w:caps w:val="0"/>
          <w:color w:val="000000"/>
          <w:spacing w:val="0"/>
          <w:sz w:val="24"/>
          <w:szCs w:val="24"/>
          <w:shd w:val="clear" w:fill="FFFFFF"/>
          <w:vertAlign w:val="baseline"/>
        </w:rPr>
        <w:t xml:space="preserve"> </w:t>
      </w:r>
      <w:r>
        <w:rPr>
          <w:rFonts w:hint="default" w:ascii="Arial" w:hAnsi="Arial" w:cs="Arial"/>
          <w:b/>
          <w:bCs/>
          <w:i w:val="0"/>
          <w:iCs w:val="0"/>
          <w:caps w:val="0"/>
          <w:color w:val="000000"/>
          <w:spacing w:val="0"/>
          <w:sz w:val="24"/>
          <w:szCs w:val="24"/>
          <w:shd w:val="clear" w:fill="FFFFFF"/>
          <w:vertAlign w:val="baseline"/>
        </w:rPr>
        <w:t>Veículos Leves e Pesados</w:t>
      </w:r>
      <w:r>
        <w:rPr>
          <w:rFonts w:hint="default" w:ascii="Arial" w:hAnsi="Arial" w:cs="Arial"/>
          <w:i w:val="0"/>
          <w:iCs w:val="0"/>
          <w:caps w:val="0"/>
          <w:color w:val="000000"/>
          <w:spacing w:val="0"/>
          <w:sz w:val="24"/>
          <w:szCs w:val="24"/>
          <w:shd w:val="clear" w:fill="FFFFFF"/>
          <w:vertAlign w:val="baseline"/>
        </w:rPr>
        <w:t>:</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RCF/DMT (Danos Materiais a terceiros) R$ 100.000,00 (por veículo);</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RCF/DPT (Danos Pessoais a terceiros) R$100.000,00 (por veículo);</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APP/MORTE (Acidentes pessoais passageiros) R$10.000,00 (por ocupante);</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APP/INVALIDEZ (Acidentes pessoais passageiros) R$10.000,00 (por ocupante);</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Cobertura de Casco 100% do valor de mercado Tabela FIPE.</w:t>
      </w:r>
      <w:r>
        <w:rPr>
          <w:rFonts w:hint="default" w:ascii="Arial" w:hAnsi="Arial" w:cs="Arial"/>
          <w:i w:val="0"/>
          <w:iCs w:val="0"/>
          <w:caps w:val="0"/>
          <w:color w:val="000000"/>
          <w:spacing w:val="0"/>
          <w:sz w:val="24"/>
          <w:szCs w:val="24"/>
          <w:shd w:val="clear" w:fill="FFFFFF"/>
          <w:vertAlign w:val="baseline"/>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15.5</w:t>
      </w:r>
      <w:r>
        <w:rPr>
          <w:rFonts w:hint="default" w:ascii="Arial" w:hAnsi="Arial" w:cs="Arial"/>
          <w:b/>
          <w:bCs/>
          <w:i w:val="0"/>
          <w:iCs w:val="0"/>
          <w:caps w:val="0"/>
          <w:color w:val="000000"/>
          <w:spacing w:val="0"/>
          <w:sz w:val="24"/>
          <w:szCs w:val="24"/>
          <w:shd w:val="clear" w:fill="FFFFFF"/>
          <w:vertAlign w:val="baseline"/>
        </w:rPr>
        <w:t xml:space="preserve"> PARÂMETROS MÍNIMOS DA COBERTURA, </w:t>
      </w:r>
      <w:r>
        <w:rPr>
          <w:rFonts w:hint="default" w:ascii="Arial" w:hAnsi="Arial" w:cs="Arial"/>
          <w:i w:val="0"/>
          <w:iCs w:val="0"/>
          <w:caps w:val="0"/>
          <w:color w:val="000000"/>
          <w:spacing w:val="0"/>
          <w:sz w:val="24"/>
          <w:szCs w:val="24"/>
          <w:shd w:val="clear" w:fill="FFFFFF"/>
          <w:vertAlign w:val="baseline"/>
        </w:rPr>
        <w:t>o seguro deverá cobrir também os itens abaixo relacionados:</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a)  Colisão, incêndio, furto e roubo;</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b)  Abalroamento;</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c)  Capotagem;</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d)  Queda de precipícios e de pontes;</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e)  Queda acidental sobre o veículo de qualquer objeto ou substâncias que dele não faça parte integrante e não esteja nele afixado;</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f) Granizo;</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g)  Furacão;</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h)  Terremoto;</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i)  Submersão total ou parcial;</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j)  Prestação de serviços de socorro ou salvamento decorrente de um dos riscos cobertos;</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k)  Cobertura de vidros e retrovisores;</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l)  Prestar assistência de emergência 24 horas para veículos, passageiros e motoristas.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15.6 DAS CONDIÇÕES DO SEGURO,</w:t>
      </w:r>
      <w:r>
        <w:rPr>
          <w:rFonts w:hint="default" w:ascii="Arial" w:hAnsi="Arial" w:cs="Arial"/>
          <w:i w:val="0"/>
          <w:iCs w:val="0"/>
          <w:caps w:val="0"/>
          <w:color w:val="000000"/>
          <w:spacing w:val="0"/>
          <w:sz w:val="24"/>
          <w:szCs w:val="24"/>
          <w:shd w:val="clear" w:fill="FFFFFF"/>
          <w:vertAlign w:val="baseline"/>
        </w:rPr>
        <w:t xml:space="preserve"> o seguro a ser contratado deverá ser </w:t>
      </w:r>
      <w:r>
        <w:rPr>
          <w:rFonts w:hint="default" w:ascii="Arial" w:hAnsi="Arial" w:cs="Arial"/>
          <w:b/>
          <w:bCs/>
          <w:i w:val="0"/>
          <w:iCs w:val="0"/>
          <w:caps w:val="0"/>
          <w:color w:val="000000"/>
          <w:spacing w:val="0"/>
          <w:sz w:val="24"/>
          <w:szCs w:val="24"/>
          <w:shd w:val="clear" w:fill="FFFFFF"/>
          <w:vertAlign w:val="baseline"/>
        </w:rPr>
        <w:t>do tipo total, com franquia reduzida</w:t>
      </w:r>
      <w:r>
        <w:rPr>
          <w:rFonts w:hint="default" w:ascii="Arial" w:hAnsi="Arial" w:cs="Arial"/>
          <w:i w:val="0"/>
          <w:iCs w:val="0"/>
          <w:caps w:val="0"/>
          <w:color w:val="000000"/>
          <w:spacing w:val="0"/>
          <w:sz w:val="24"/>
          <w:szCs w:val="24"/>
          <w:shd w:val="clear" w:fill="FFFFFF"/>
          <w:vertAlign w:val="baseline"/>
        </w:rPr>
        <w:t>, cobrindo: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15.6.1 Roubo, Furto, Incêndio e Colisão:</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a) Danos causados no próprio veículo;</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b) Casco e demais superfícies;</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c) Vidros dianteiros, laterais e traseiros e retrovisores dos veículos.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15.6.2 Responsabilidade Civil Facultativa de Veículos RCF-V:</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a) Danos materiais (DM);</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b) Demais coberturas oferecidas aos usuários de seguros;</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c) Danos Pessoais (DP);</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d) Danos materiais e corporais contra terceiros.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15.6.3 Acidentes Pessoais Passageiros APP:</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a) Morte;</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b) Invalidez Permanente e Parcial para passageiros do veículo.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15.6.4 Acidentes com Perca Total:</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a) As características do bem a ser recebido pelo contratante deverão ser as mesmas constantes da apólice e do termo de vistoria;</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b) Sendo a assistência de 24 horas, inclusive com cláusula assecuratória de recebimento do valor financeiro de mercado conforme tabela vigente em caso de perda total;</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15.6.5 Deverão ser concedidos os bônus em função dos anos em que os veículos estão segurados, dentro das normas da SUSEP.</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16. DA FORMA DE PAGAMENTO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16.1</w:t>
      </w:r>
      <w:r>
        <w:rPr>
          <w:rFonts w:hint="default" w:ascii="Arial" w:hAnsi="Arial" w:cs="Arial"/>
          <w:b/>
          <w:bCs/>
          <w:i w:val="0"/>
          <w:iCs w:val="0"/>
          <w:caps w:val="0"/>
          <w:color w:val="000000"/>
          <w:spacing w:val="0"/>
          <w:sz w:val="24"/>
          <w:szCs w:val="24"/>
          <w:shd w:val="clear" w:fill="FFFFFF"/>
          <w:vertAlign w:val="baseline"/>
        </w:rPr>
        <w:t xml:space="preserve"> Os pagamentos obedecerão a ordem cronológica estabelecida no Decreto Municipal nº 17.210 de 11 de fevereiro de 2021.</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16.2 As condições de pagamento observarão, no que couber, os critérios para pagamento regidos pela Lei n.8.666/93.</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16.3 Deverão ser apresentadas de imediato, logo após o recebimento definitivo, à Comissão de Recebimento, para tal fim designada mediante portaria publicada no Diário Oficial dos Municípios - AROM, as Notas Fiscais/Fatura Eletrônica DANFE, emitidas em 02 (duas) vias, devendo conter no corpo destas, a descrição do objeto, o número do Contrato e/ou nota de empenho e o número da Conta Bancária da CONTRATADA, para depósito do pagamento, o qual deverá ser efetuado no prazo máximo de 30 (trinta) dias da apresentação, devidamente autorizado pelo órgão fiscalizador do Município;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16.4 Na hipótese das Notas Fiscais/Faturas apresentarem erros ou dúvidas quanto à exatidão ou documentação, a CONTRATANTE poderá pagar apenas a parcela não controvertida no prazo fixado para pagamento, ressalvado o direito da futura CONTRATADA de reapresentar, para cobrança as partes controvertidas com as devidas justificativas (nestes casos a CONTRATANTE terá o prazo de 05 (cinco) dias úteis, a partir do recebimento e análise da despesa pelos órgãos controladores do Município e pagamento).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16.5 Se durante a liquidação for identificado erro ou falha documental sanável, salvo má-fé, o credor será notificado para no prazo de três dias corridos para sanear o documento, após esse prazo a obrigação do pagamento terá sua exigibilidade suspensa e será excluída da ordem cronológica.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16.6 Na hipótese de devolução, a Nota Fiscal será considerada como não apresentada, para fins de atendimento das condições contratuais.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16.7 Comprovação da efetiva entrega do quantitativo de materiais faturado. Prova de regularidade fiscal e trabalhista, vigentes na data do recebimento da Nota Fiscal pela Comissão, composta por no mínimo os seguintes documentos:</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a) Certificado de Regularidade do FGTS.</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b) Certidão de Regularidade Débitos Federais (INSS, Dívida Ativa da União e Receita Federal).</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c) Certidão Negativa da Fazenda Estadual.</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d) Certidão Negativa de Tributos Mobiliários Municipais.</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e) Certidão Negativa de Débitos Trabalhistas.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16.8 Os documentos de regularidade fiscal e trabalhista constituem condição indispensável para o efetivo pagamento da despesa, sendo igualmente aceitas certidões negativas e positivas com efeitos de negativa, em caso de pendência, a Prefeitura de Ariquemes está autorizada a comunicar aos órgãos credores acerca da existência de créditos em nome do fornecedor, a fim de possibilitar medidas judiciais de bloqueio ou sequestro do numerário disponível.</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16.9 A liquidação e processamento da despesa correspondente ao valor efetivamente apurado e conferido pelos fiscais e comissão de recebimento do empenho, deduzindo as glosas e sanções aplicadas que porventura tenham sido verificadas, será efetuado pelo Núcleo Financeiro, no prazo máximo de 05 (cinco) dias a contar do recebimento da documentação, quando encaminhará os documentos para análise da Controladoria Geral do Município, a qual deverá efetuar a análise e emitir parecer no prazo de 05 (cinco) dias a contar do recebimento, devolvendo os autos para fins de inclusão na ordem cronológica de pagamento caso não haja apontamentos do Controle; ou regularização e posterior inclusão para pagamento no prazo máximo de 05 (cinco) dias a contar do retorno dos autos, no caso de apontamentos do órgão de controle.</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16.10 Os pagamentos referentes aos itens adquiridos através deste processo administrativo não serão efetuados enquanto houver pendente a liquidação ou qualquer obrigação financeira que lhe foi imposta, em virtude de penalidade ou inadimplência do contrato, sem que isso gere direito ao pleito do reajuste de preços ou correção monetária;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16.11 Não será efetuado qualquer pagamento à (s) empresa (s) Contratada (s) enquanto houver pendência de liquidação da obrigação financeira em virtude de penalidade a inadimplência contratual, salvo parcelas incontroversas.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16.12 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pPr>
        <w:pStyle w:val="29"/>
        <w:keepNext w:val="0"/>
        <w:keepLines w:val="0"/>
        <w:widowControl/>
        <w:suppressLineNumbers w:val="0"/>
        <w:bidi w:val="0"/>
        <w:spacing w:before="0" w:beforeAutospacing="0" w:after="0" w:afterAutospacing="0" w:line="15" w:lineRule="atLeast"/>
        <w:ind w:left="0" w:right="0"/>
        <w:jc w:val="center"/>
      </w:pPr>
      <w:r>
        <w:rPr>
          <w:rFonts w:hint="default" w:ascii="Arial" w:hAnsi="Arial" w:cs="Arial"/>
          <w:i w:val="0"/>
          <w:iCs w:val="0"/>
          <w:caps w:val="0"/>
          <w:color w:val="000000"/>
          <w:spacing w:val="0"/>
          <w:sz w:val="24"/>
          <w:szCs w:val="24"/>
          <w:shd w:val="clear" w:fill="FFFFFF"/>
          <w:vertAlign w:val="baseline"/>
        </w:rPr>
        <w:t>I = (TX/100)</w:t>
      </w:r>
    </w:p>
    <w:p>
      <w:pPr>
        <w:pStyle w:val="29"/>
        <w:keepNext w:val="0"/>
        <w:keepLines w:val="0"/>
        <w:widowControl/>
        <w:suppressLineNumbers w:val="0"/>
        <w:bidi w:val="0"/>
        <w:spacing w:before="0" w:beforeAutospacing="0" w:after="0" w:afterAutospacing="0" w:line="15" w:lineRule="atLeast"/>
        <w:ind w:left="0" w:right="0"/>
        <w:jc w:val="center"/>
      </w:pPr>
      <w:r>
        <w:rPr>
          <w:rFonts w:hint="default" w:ascii="Arial" w:hAnsi="Arial" w:cs="Arial"/>
          <w:i w:val="0"/>
          <w:iCs w:val="0"/>
          <w:caps w:val="0"/>
          <w:color w:val="000000"/>
          <w:spacing w:val="0"/>
          <w:sz w:val="24"/>
          <w:szCs w:val="24"/>
          <w:shd w:val="clear" w:fill="FFFFFF"/>
          <w:vertAlign w:val="baseline"/>
        </w:rPr>
        <w:t>          365</w:t>
      </w:r>
    </w:p>
    <w:p>
      <w:pPr>
        <w:pStyle w:val="29"/>
        <w:keepNext w:val="0"/>
        <w:keepLines w:val="0"/>
        <w:widowControl/>
        <w:suppressLineNumbers w:val="0"/>
        <w:bidi w:val="0"/>
        <w:spacing w:before="0" w:beforeAutospacing="0" w:after="0" w:afterAutospacing="0" w:line="15" w:lineRule="atLeast"/>
        <w:ind w:left="0" w:right="0"/>
        <w:jc w:val="center"/>
      </w:pPr>
      <w:r>
        <w:rPr>
          <w:rFonts w:hint="default" w:ascii="Arial" w:hAnsi="Arial" w:cs="Arial"/>
          <w:i w:val="0"/>
          <w:iCs w:val="0"/>
          <w:caps w:val="0"/>
          <w:color w:val="000000"/>
          <w:spacing w:val="0"/>
          <w:sz w:val="24"/>
          <w:szCs w:val="24"/>
          <w:shd w:val="clear" w:fill="FFFFFF"/>
          <w:vertAlign w:val="baseline"/>
        </w:rPr>
        <w:t>EM = I x N x VP, onde:</w:t>
      </w:r>
    </w:p>
    <w:p>
      <w:pPr>
        <w:pStyle w:val="29"/>
        <w:keepNext w:val="0"/>
        <w:keepLines w:val="0"/>
        <w:widowControl/>
        <w:suppressLineNumbers w:val="0"/>
        <w:bidi w:val="0"/>
        <w:spacing w:before="0" w:beforeAutospacing="0" w:after="0" w:afterAutospacing="0" w:line="15" w:lineRule="atLeast"/>
        <w:ind w:left="0" w:right="0"/>
        <w:jc w:val="center"/>
      </w:pPr>
      <w:r>
        <w:rPr>
          <w:rFonts w:hint="default" w:ascii="Arial" w:hAnsi="Arial" w:cs="Arial"/>
          <w:i w:val="0"/>
          <w:iCs w:val="0"/>
          <w:caps w:val="0"/>
          <w:color w:val="000000"/>
          <w:spacing w:val="0"/>
          <w:sz w:val="24"/>
          <w:szCs w:val="24"/>
          <w:shd w:val="clear" w:fill="FFFFFF"/>
          <w:vertAlign w:val="baseline"/>
        </w:rPr>
        <w:t>I = Índice de atualização financeira;</w:t>
      </w:r>
    </w:p>
    <w:p>
      <w:pPr>
        <w:pStyle w:val="29"/>
        <w:keepNext w:val="0"/>
        <w:keepLines w:val="0"/>
        <w:widowControl/>
        <w:suppressLineNumbers w:val="0"/>
        <w:bidi w:val="0"/>
        <w:spacing w:before="0" w:beforeAutospacing="0" w:after="0" w:afterAutospacing="0" w:line="15" w:lineRule="atLeast"/>
        <w:ind w:left="0" w:right="0"/>
        <w:jc w:val="center"/>
      </w:pPr>
      <w:r>
        <w:rPr>
          <w:rFonts w:hint="default" w:ascii="Arial" w:hAnsi="Arial" w:cs="Arial"/>
          <w:i w:val="0"/>
          <w:iCs w:val="0"/>
          <w:caps w:val="0"/>
          <w:color w:val="000000"/>
          <w:spacing w:val="0"/>
          <w:sz w:val="24"/>
          <w:szCs w:val="24"/>
          <w:shd w:val="clear" w:fill="FFFFFF"/>
          <w:vertAlign w:val="baseline"/>
        </w:rPr>
        <w:t>TX = Percentual da taxa de juros de mora anual;</w:t>
      </w:r>
    </w:p>
    <w:p>
      <w:pPr>
        <w:pStyle w:val="29"/>
        <w:keepNext w:val="0"/>
        <w:keepLines w:val="0"/>
        <w:widowControl/>
        <w:suppressLineNumbers w:val="0"/>
        <w:bidi w:val="0"/>
        <w:spacing w:before="0" w:beforeAutospacing="0" w:after="0" w:afterAutospacing="0" w:line="15" w:lineRule="atLeast"/>
        <w:ind w:left="0" w:right="0"/>
        <w:jc w:val="center"/>
      </w:pPr>
      <w:r>
        <w:rPr>
          <w:rFonts w:hint="default" w:ascii="Arial" w:hAnsi="Arial" w:cs="Arial"/>
          <w:i w:val="0"/>
          <w:iCs w:val="0"/>
          <w:caps w:val="0"/>
          <w:color w:val="000000"/>
          <w:spacing w:val="0"/>
          <w:sz w:val="24"/>
          <w:szCs w:val="24"/>
          <w:shd w:val="clear" w:fill="FFFFFF"/>
          <w:vertAlign w:val="baseline"/>
        </w:rPr>
        <w:t>EM = Encargos moratórios;</w:t>
      </w:r>
    </w:p>
    <w:p>
      <w:pPr>
        <w:pStyle w:val="29"/>
        <w:keepNext w:val="0"/>
        <w:keepLines w:val="0"/>
        <w:widowControl/>
        <w:suppressLineNumbers w:val="0"/>
        <w:bidi w:val="0"/>
        <w:spacing w:before="0" w:beforeAutospacing="0" w:after="0" w:afterAutospacing="0" w:line="15" w:lineRule="atLeast"/>
        <w:ind w:left="0" w:right="0"/>
        <w:jc w:val="center"/>
      </w:pPr>
      <w:r>
        <w:rPr>
          <w:rFonts w:hint="default" w:ascii="Arial" w:hAnsi="Arial" w:cs="Arial"/>
          <w:i w:val="0"/>
          <w:iCs w:val="0"/>
          <w:caps w:val="0"/>
          <w:color w:val="000000"/>
          <w:spacing w:val="0"/>
          <w:sz w:val="24"/>
          <w:szCs w:val="24"/>
          <w:shd w:val="clear" w:fill="FFFFFF"/>
          <w:vertAlign w:val="baseline"/>
        </w:rPr>
        <w:t>N = Número de dias entre a data prevista para o pagamento e a do efetivo pagamento;</w:t>
      </w:r>
    </w:p>
    <w:p>
      <w:pPr>
        <w:pStyle w:val="29"/>
        <w:keepNext w:val="0"/>
        <w:keepLines w:val="0"/>
        <w:widowControl/>
        <w:suppressLineNumbers w:val="0"/>
        <w:bidi w:val="0"/>
        <w:spacing w:before="0" w:beforeAutospacing="0" w:after="0" w:afterAutospacing="0" w:line="15" w:lineRule="atLeast"/>
        <w:ind w:left="0" w:right="0"/>
        <w:jc w:val="center"/>
      </w:pPr>
      <w:r>
        <w:rPr>
          <w:rFonts w:hint="default" w:ascii="Arial" w:hAnsi="Arial" w:cs="Arial"/>
          <w:i w:val="0"/>
          <w:iCs w:val="0"/>
          <w:caps w:val="0"/>
          <w:color w:val="000000"/>
          <w:spacing w:val="0"/>
          <w:sz w:val="24"/>
          <w:szCs w:val="24"/>
          <w:shd w:val="clear" w:fill="FFFFFF"/>
          <w:vertAlign w:val="baseline"/>
        </w:rPr>
        <w:t>VP = Valor da parcela em atraso.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16.13 Ocorrendo erro no documento da cobrança, este será devolvido e o pagamento será sustado para que a Contratada tome as medidas necessárias, passando o prazo para o pagamento a ser contado a partir de data da reapresentação do mesmo.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16.14 Caso se constate erro ou irregularidade na Nota Fiscal, a Administração, a seu critério, poderá devolvê-la, para as devidas correções, ou aceitá-las, com a glosa da parte que considerar indevida.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16.15 Na hipótese de devolução, a Nota Fiscal será considerada como não apresentada, para fins de atendimento das condições contratuais.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16.16 Os eventuais encargos financeiros, processuais e outros, decorrentes da inobservância, pela licitante, de prazo de pagamento, serão de sua exclusiva responsabilidade.</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16.17 A Administração efetuará retenção, na fonte, dos tributos e contribuições sobre todos os pagamentos à Contratada.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16.18 O pagamento da Nota Fiscal correspondente ao valor definitivo processado pela Administração se dará através da Secretaria Municipal de Fazenda, mediante emissão de Ordem Bancária, obedecendo à ordem cronológica estabelecida, no prazo de 30 (trinta) dias contados a partir da data final do período de adimplemento de cada parcela (verificação de conformidade da documentação), consoante ao definido nos art. 40, inciso XIV, alínea a da Lei Federal nº 8.666/93.</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16.19 A administração não pagará, sem que tenha autorização prévia e formal, nenhum compromisso que lhe venha a ser cobrado diretamente por terceiros, seja ou não instituições financeiras, à exceção de determinações judiciais, devidamente protocoladas no órgão.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16.20 Os eventuais encargos financeiros, processuais e outros, decorrentes da inobservância, pela CONTRATADA, de prazo de pagamento, serão de sua exclusiva responsabilidade.</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16.21 A ADMINISTRAÇÃO efetuará retenção, na fonte, dos tributos e contribuições sobre todos os pagamentos à CONTRATADA, conforme o caso e exigências legais aplicáveis. A CONTRATADA não poderá se valer do contrato para assumir obrigações perante terceiros, dando-o como garantia, nem utilizar os direitos de crédito a serem auferidos em função dos serviços prestados, em quaisquer operações de desconto bancário, sem prévia autorização do Ordenador de Despesas.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16.22 O prazo para pagamento da Nota Fiscal/Fatura só será contado da data de sua validação, considerando o trâmite administrativo.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16.23 A CONTRATANTE não se responsabilizará por qualquer despesa que venha a ser efetuada pela CONTRATADA, que porventura não tenha sido acordada nas obrigações da contratada.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16.24 Diante da conferência, a Nota Fiscal/Fatura deverá ser atestada pela Comissão designada, conforme disposto nos artigos 67 e 77 da Lei 8.666/93.</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16.25 Considerar-se-á como sendo a data do pagamento a data da emissão da respectiva ordem bancária.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16.26 O pagamento será efetuado através de Ordem Bancária OB e depósito em conta corrente, indicada pela Contratada;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16.27 A Nota Fiscal deverá ser emitida em nome do órgão requisitante:</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xml:space="preserve">16.27.1 </w:t>
      </w:r>
      <w:r>
        <w:rPr>
          <w:rFonts w:hint="default" w:ascii="Arial" w:hAnsi="Arial" w:cs="Arial"/>
          <w:i w:val="0"/>
          <w:iCs w:val="0"/>
          <w:caps w:val="0"/>
          <w:color w:val="333333"/>
          <w:spacing w:val="0"/>
          <w:sz w:val="24"/>
          <w:szCs w:val="24"/>
          <w:shd w:val="clear" w:fill="FFFFFF"/>
          <w:vertAlign w:val="baseline"/>
        </w:rPr>
        <w:t xml:space="preserve">FUNDO MUNICIPAL DE ASSISTENCIA SOCIAL </w:t>
      </w:r>
      <w:r>
        <w:rPr>
          <w:rFonts w:hint="default" w:ascii="Arial" w:hAnsi="Arial" w:cs="Arial"/>
          <w:i w:val="0"/>
          <w:iCs w:val="0"/>
          <w:caps w:val="0"/>
          <w:color w:val="000000"/>
          <w:spacing w:val="0"/>
          <w:sz w:val="24"/>
          <w:szCs w:val="24"/>
          <w:shd w:val="clear" w:fill="FFFFFF"/>
          <w:vertAlign w:val="baseline"/>
        </w:rPr>
        <w:t xml:space="preserve">- CNPJ: </w:t>
      </w:r>
      <w:r>
        <w:rPr>
          <w:rFonts w:hint="default" w:ascii="Arial" w:hAnsi="Arial" w:cs="Arial"/>
          <w:i w:val="0"/>
          <w:iCs w:val="0"/>
          <w:caps w:val="0"/>
          <w:color w:val="333333"/>
          <w:spacing w:val="0"/>
          <w:sz w:val="24"/>
          <w:szCs w:val="24"/>
          <w:shd w:val="clear" w:fill="FFFFFF"/>
          <w:vertAlign w:val="baseline"/>
        </w:rPr>
        <w:t xml:space="preserve">14.749.953/0001-61 </w:t>
      </w:r>
      <w:r>
        <w:rPr>
          <w:rFonts w:hint="default" w:ascii="Arial" w:hAnsi="Arial" w:cs="Arial"/>
          <w:i w:val="0"/>
          <w:iCs w:val="0"/>
          <w:caps w:val="0"/>
          <w:color w:val="000000"/>
          <w:spacing w:val="0"/>
          <w:sz w:val="24"/>
          <w:szCs w:val="24"/>
          <w:shd w:val="clear" w:fill="FFFFFF"/>
          <w:vertAlign w:val="baseline"/>
        </w:rPr>
        <w:t xml:space="preserve">- Endereço: </w:t>
      </w:r>
      <w:r>
        <w:rPr>
          <w:rFonts w:hint="default" w:ascii="Arial" w:hAnsi="Arial" w:cs="Arial"/>
          <w:i w:val="0"/>
          <w:iCs w:val="0"/>
          <w:caps w:val="0"/>
          <w:color w:val="333333"/>
          <w:spacing w:val="0"/>
          <w:sz w:val="24"/>
          <w:szCs w:val="24"/>
          <w:shd w:val="clear" w:fill="FFFFFF"/>
          <w:vertAlign w:val="baseline"/>
        </w:rPr>
        <w:t>Avenida Jamari</w:t>
      </w:r>
      <w:r>
        <w:rPr>
          <w:rFonts w:hint="default" w:ascii="Arial" w:hAnsi="Arial" w:cs="Arial"/>
          <w:i w:val="0"/>
          <w:iCs w:val="0"/>
          <w:caps w:val="0"/>
          <w:color w:val="000000"/>
          <w:spacing w:val="0"/>
          <w:sz w:val="24"/>
          <w:szCs w:val="24"/>
          <w:shd w:val="clear" w:fill="FFFFFF"/>
          <w:vertAlign w:val="baseline"/>
        </w:rPr>
        <w:t xml:space="preserve">, 4615. Setor 02, CEP: </w:t>
      </w:r>
      <w:r>
        <w:rPr>
          <w:rFonts w:hint="default" w:ascii="Arial" w:hAnsi="Arial" w:cs="Arial"/>
          <w:i w:val="0"/>
          <w:iCs w:val="0"/>
          <w:caps w:val="0"/>
          <w:color w:val="333333"/>
          <w:spacing w:val="0"/>
          <w:sz w:val="24"/>
          <w:szCs w:val="24"/>
          <w:shd w:val="clear" w:fill="FFFFFF"/>
          <w:vertAlign w:val="baseline"/>
        </w:rPr>
        <w:t>76.873-125</w:t>
      </w:r>
      <w:r>
        <w:rPr>
          <w:rFonts w:hint="default" w:ascii="Arial" w:hAnsi="Arial" w:cs="Arial"/>
          <w:i w:val="0"/>
          <w:iCs w:val="0"/>
          <w:caps w:val="0"/>
          <w:color w:val="000000"/>
          <w:spacing w:val="0"/>
          <w:sz w:val="24"/>
          <w:szCs w:val="24"/>
          <w:shd w:val="clear" w:fill="FFFFFF"/>
          <w:vertAlign w:val="baseline"/>
        </w:rPr>
        <w:t>, Ariquemes/RO, Fone (69) 3536-0206</w:t>
      </w:r>
      <w:r>
        <w:rPr>
          <w:rFonts w:hint="default" w:ascii="Arial" w:hAnsi="Arial" w:cs="Arial"/>
          <w:i w:val="0"/>
          <w:iCs w:val="0"/>
          <w:caps w:val="0"/>
          <w:color w:val="202124"/>
          <w:spacing w:val="0"/>
          <w:sz w:val="24"/>
          <w:szCs w:val="24"/>
          <w:shd w:val="clear" w:fill="FFFFFF"/>
          <w:vertAlign w:val="baseline"/>
        </w:rPr>
        <w:t>.</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202124"/>
          <w:spacing w:val="0"/>
          <w:sz w:val="24"/>
          <w:szCs w:val="24"/>
          <w:shd w:val="clear" w:fill="FFFFFF"/>
          <w:vertAlign w:val="baseline"/>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17. DOS RECURSOS ORÇAMENTÁRIOS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17.1 Se a eventual e futura contratação ocorrer ainda neste exercício, às respectivas despesas decorrentes da contratação, objeto desta licitação, correrão à conta dos recursos específicos consignados no orçamento do Município de Ariquemes-RO, que tem como Projeto Atividade e Elemento de Despesa da Secretaria Municipal de Desenvolvimento Social, a seguir especificados: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17.2 Os recursos orçamentários destinados à cobertura das despesas decorrentes da aquisição, correrão por conta dos recursos, pela seguinte classificação orçamentária: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Órgão:</w:t>
      </w:r>
      <w:r>
        <w:rPr>
          <w:rFonts w:hint="default" w:ascii="Arial" w:hAnsi="Arial" w:cs="Arial"/>
          <w:i w:val="0"/>
          <w:iCs w:val="0"/>
          <w:caps w:val="0"/>
          <w:color w:val="000000"/>
          <w:spacing w:val="0"/>
          <w:sz w:val="24"/>
          <w:szCs w:val="24"/>
          <w:shd w:val="clear" w:fill="FFFFFF"/>
          <w:vertAlign w:val="baseline"/>
        </w:rPr>
        <w:t xml:space="preserve"> Prefeitura Municipal de Ariquemes;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 xml:space="preserve">Unidade Orçamentária: </w:t>
      </w:r>
      <w:r>
        <w:rPr>
          <w:rFonts w:hint="default" w:ascii="Arial" w:hAnsi="Arial" w:cs="Arial"/>
          <w:i w:val="0"/>
          <w:iCs w:val="0"/>
          <w:caps w:val="0"/>
          <w:color w:val="000000"/>
          <w:spacing w:val="0"/>
          <w:sz w:val="24"/>
          <w:szCs w:val="24"/>
          <w:shd w:val="clear" w:fill="FFFFFF"/>
          <w:vertAlign w:val="baseline"/>
        </w:rPr>
        <w:t>Fundo Municipal de Assistência Social-FMAS;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Programação: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08.122.0001.2.400 - Manutenção das Atividades da SEMDES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08.243.0010.2.403 - Manutenção do Conselho Tutelar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08.244.0010.2.406 - Piso Básico Variável-SCFV</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08.244.0010.2.410 - Assistência do CRAS/PAIF</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08.243.0010.2.412 - Piso Fixo de Média Complexidade PAEFI/CREAS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08.244.0010.2.414 - Gestão Cadastro Único - Bolsa Família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Elemento de Despesa:</w:t>
      </w:r>
      <w:r>
        <w:rPr>
          <w:rFonts w:hint="default" w:ascii="Arial" w:hAnsi="Arial" w:cs="Arial"/>
          <w:i w:val="0"/>
          <w:iCs w:val="0"/>
          <w:caps w:val="0"/>
          <w:color w:val="000000"/>
          <w:spacing w:val="0"/>
          <w:sz w:val="24"/>
          <w:szCs w:val="24"/>
          <w:shd w:val="clear" w:fill="FFFFFF"/>
          <w:vertAlign w:val="baseline"/>
        </w:rPr>
        <w:t xml:space="preserve"> 33.90.39 - Outros Serviços de Terceiros - Pessoa Jurídica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Fonte de Recurso:</w:t>
      </w:r>
      <w:r>
        <w:rPr>
          <w:rFonts w:hint="default" w:ascii="Arial" w:hAnsi="Arial" w:cs="Arial"/>
          <w:i w:val="0"/>
          <w:iCs w:val="0"/>
          <w:caps w:val="0"/>
          <w:color w:val="000000"/>
          <w:spacing w:val="0"/>
          <w:sz w:val="24"/>
          <w:szCs w:val="24"/>
          <w:shd w:val="clear" w:fill="FFFFFF"/>
          <w:vertAlign w:val="baseline"/>
        </w:rPr>
        <w:t xml:space="preserve"> Próprios, Transferência Fundo a Fundo (União), Transferência de Recursos Estaduais.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18. DAS ESTIMATIVAS DE CUSTOS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18.1 Os preços dos produtos objeto do presente Termo de Referência serão estimados através de Pesquisa em Bancos de Preços e Cotações com Empresas do Ramo, as desclassificações dos preços excessivamente elevados ou inexequíveis e a determinação das médias ou medianas unitárias, serão estabelecidas conforme o Manual de Orientação de Pesquisa de Preços do Superior Tribunal de Justiça Secretaria de Controle Interno.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18.2 Serão desconsiderados, primeiramente, os preços excessivamente elevados, ou seja, os que estiverem com diferença superior que 30% da média dos demais preços, do mesmo item, buscando eliminar os preços elevados que não se enquadram, atendendo o princípio da economicidade.</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18.3 Posteriormente com os preços que restaram se realiza um novo filtro, desconsiderando os preços inexequíveis, ou seja, que apresentarem valor inferior a 70% em relação à média dos demais preços, do mesmo item.</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18.4 Após a definição dos preços, com no mínimo 3 cotações válidas, será realizada nova média e desvio padrão, para se obter o coeficiente de variação, e determinar se utilizará a média ou mediano dos preços válidos, caso o coeficiente apesente o desvio padrão menor ou igual a 25% será utilizado o valor da média dos preços, caso o desvio padrão seja maior que 25% será utilizado o valor da mediana.</w:t>
      </w:r>
      <w:r>
        <w:rPr>
          <w:rFonts w:hint="default" w:ascii="Arial" w:hAnsi="Arial" w:cs="Arial"/>
          <w:i w:val="0"/>
          <w:iCs w:val="0"/>
          <w:caps w:val="0"/>
          <w:color w:val="000000"/>
          <w:spacing w:val="0"/>
          <w:sz w:val="24"/>
          <w:szCs w:val="24"/>
          <w:shd w:val="clear" w:fill="FFFFFF"/>
        </w:rPr>
        <w:t> </w:t>
      </w:r>
    </w:p>
    <w:p>
      <w:pPr>
        <w:pStyle w:val="29"/>
        <w:keepNext w:val="0"/>
        <w:keepLines w:val="0"/>
        <w:widowControl/>
        <w:suppressLineNumbers w:val="0"/>
        <w:bidi w:val="0"/>
        <w:spacing w:before="0" w:beforeAutospacing="0" w:after="0" w:afterAutospacing="0" w:line="15" w:lineRule="atLeast"/>
        <w:ind w:left="0" w:right="0"/>
        <w:jc w:val="both"/>
      </w:pP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19. DAS OBRIGAÇÕES DA CONTRATANTE</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19.1 Receber os serviços de acordo com as especificações;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19.2 Acompanhar, fiscalizar, conferir e avaliar o objeto deste termo de referência, através de representantes designados pela SEMDES;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19.3 Efetuar o pagamento à CONTRATADA, de acordo com as condições estabelecidas no item 16</w:t>
      </w:r>
      <w:r>
        <w:rPr>
          <w:rFonts w:hint="default" w:ascii="Arial" w:hAnsi="Arial" w:cs="Arial"/>
          <w:b/>
          <w:bCs/>
          <w:i w:val="0"/>
          <w:iCs w:val="0"/>
          <w:caps w:val="0"/>
          <w:color w:val="000000"/>
          <w:spacing w:val="0"/>
          <w:sz w:val="24"/>
          <w:szCs w:val="24"/>
          <w:shd w:val="clear" w:fill="FFFFFF"/>
          <w:vertAlign w:val="baseline"/>
        </w:rPr>
        <w:t xml:space="preserve">. DA FORMA DE PAGAMENTO, </w:t>
      </w:r>
      <w:r>
        <w:rPr>
          <w:rFonts w:hint="default" w:ascii="Arial" w:hAnsi="Arial" w:cs="Arial"/>
          <w:i w:val="0"/>
          <w:iCs w:val="0"/>
          <w:caps w:val="0"/>
          <w:color w:val="000000"/>
          <w:spacing w:val="0"/>
          <w:sz w:val="24"/>
          <w:szCs w:val="24"/>
          <w:shd w:val="clear" w:fill="FFFFFF"/>
          <w:vertAlign w:val="baseline"/>
        </w:rPr>
        <w:t>deste Termo de Referência;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19.4 Promover, através de seu representante, o acompanhamento e a fiscalização da entrega dos serviços, sob os aspectos quantitativos e qualitativos, anotando as falhas detectadas e comunicando à CONTRATADA as ocorrências de quaisquer fatos que, a seu critério, exijam medidas corretivas por parte daquela;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xml:space="preserve">19.5 </w:t>
      </w:r>
      <w:r>
        <w:rPr>
          <w:rFonts w:hint="default" w:ascii="Arial" w:hAnsi="Arial" w:cs="Arial"/>
          <w:i w:val="0"/>
          <w:iCs w:val="0"/>
          <w:caps w:val="0"/>
          <w:color w:val="000000"/>
          <w:spacing w:val="0"/>
          <w:sz w:val="24"/>
          <w:szCs w:val="24"/>
          <w:shd w:val="clear" w:fill="FFFFFF"/>
        </w:rPr>
        <w:t>Notificar a Contratada por escrito da ocorrência de eventuais imperfeições, falhas ou irregularidades constatadas no curso da execução dos serviços, fixando prazo para a sua correção, certificando-se que as soluções por ela propostas sejam as mais adequadas;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19.6 Garantir o cumprimento de todas as cláusulas contratuais;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xml:space="preserve">19.7 </w:t>
      </w:r>
      <w:r>
        <w:rPr>
          <w:rFonts w:hint="default" w:ascii="Arial" w:hAnsi="Arial" w:cs="Arial"/>
          <w:i w:val="0"/>
          <w:iCs w:val="0"/>
          <w:caps w:val="0"/>
          <w:color w:val="000000"/>
          <w:spacing w:val="0"/>
          <w:sz w:val="24"/>
          <w:szCs w:val="24"/>
          <w:shd w:val="clear" w:fill="FFFFFF"/>
        </w:rPr>
        <w:t>Pagar à Contratada o valor resultante da prestação do serviço, no prazo e condições estabelecidas neste Termo de Referência;</w:t>
      </w:r>
      <w:r>
        <w:rPr>
          <w:rFonts w:hint="default" w:ascii="Arial" w:hAnsi="Arial" w:cs="Arial"/>
          <w:i w:val="0"/>
          <w:iCs w:val="0"/>
          <w:caps w:val="0"/>
          <w:color w:val="000000"/>
          <w:spacing w:val="0"/>
          <w:sz w:val="24"/>
          <w:szCs w:val="24"/>
          <w:shd w:val="clear" w:fill="FFFFFF"/>
          <w:vertAlign w:val="baseline"/>
        </w:rPr>
        <w:t>;</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19.8 Proporcionar todas as facilidades para que a Contratada possa cumprir suas obrigações dentro das normas e condições;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19.9 Notificar a CONTRATADA por escrito da aplicação de eventuais penalidades, garantindo o contraditório e a ampla defesa, conforme previsto na Lei nº. 8.666/93.</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19.10 Aplicar as penalidades regulamentares e contratuais;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19.11 Garantir o cumprimento de todas as cláusulas contratuais ao bom desempenho do objeto e finalidade desta contratação.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19.12 Garantir à CONTRATADA toda e qualquer informação, ocorrências ou fatos relevantes relacionados com o objeto deste Termo.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19.13 Prestar as informações e os esclarecimentos que venham a ser solicitado pela CONTRATADA.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19.14 Comunicar imediatamente a CONTRATADA, quando na inspeção dos objetos, qualquer irregularidade for verificado na entrega dos objetos, fixando prazo para as devidas correções.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19.15 Assegurar os recursos orçamentários e financeiros para custear o objeto desta licitação.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19.16 Exigir o cumprimento de todas as obrigações assumidas pela Contratada, de acordo com as cláusulas contratuais e os termos de sua proposta;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19.17 Permitir e facilitar a vistoria dos veículos a serem segurados;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19.18 Fornecer todas as informações, esclarecimentos, documentos e as condições necessárias à plena cobertura dos seguros, objeto desta licitação;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19.19 Informar à Contratada sempre que houver transferência de veículo;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19.20 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19.21 Notificar a Contratada por escrito da ocorrência de eventuais imperfeições, falhas ou irregularidades constatadas no curso da execução dos serviços, fixando prazo para a sua correção, certificando-se que as soluções por ela propostas sejam as mais adequadas;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19.22 Pagar à Contratada o valor resultante da prestação do serviço, no prazo e condições estabelecidas neste Termo de Referência;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19.23 Efetuar as retenções tributárias devidas sobre o valor da Nota Fiscal/Fatura da contratada, no que couber.</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19.24 Não praticar atos de ingerência na administração da Contratada, tais como: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19.24.1 exercer o poder de mando sobre os empregados da Contratada, devendo reportar-se somente aos prepostos ou responsáveis por ela indicados, exceto quando o objeto da contratação previr o atendimento direto, tais como nos serviços de recepção e apoio ao usuário;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19.24.2 direcionar a contratação de pessoas para trabalhar nas empresas Contratadas;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19.24.3 Considerar os trabalhadores da Contratada como colaboradores eventuais do próprio órgão ou entidade responsável pela contratação, especialmente para efeito de concessão de diárias e passagens.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19.25 Fornecer por escrito as informações necessárias para o desenvolvimento dos serviços objeto do contrato;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19.26 Realizar avaliações periódicas da qualidade dos serviços, após seu recebimento;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19.27 Arquivar documentos, especificações, orçamentos, termos de recebimento, contratos e aditamentos, relatórios de inspeções técnicas após o recebimento do serviço e notificações expedidas;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19.28 Fiscalizar o cumprimento dos requisitos legais, quando a contratada houver se beneficiado da preferência estabelecida pelo art. 3º, § 5º, da Lei nº 8.666, de 1993.</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20. OBRIGAÇÕES DA CONTRATADA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20.1 Executar os serviços conforme especificações deste Termo de Referência e de sua proposta;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20.2 Emitir a apólice de seguro no prazo máximo de 30 (trinta) dias corridos, contados a partir da data de assinatura do Contrato;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xml:space="preserve">20.3 Providenciar a regularização do sinistro porventura ocorrido, tão logo lhe seja comunicado;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20.4 Permanecer como única e total responsável perante o Fundo Municipal de Assistência Social - FMAS inclusive do ponto de vista técnico, respondendo pela qualidade e presteza no atendimento, principalmente quando da regularização de sinistro porventura ocorrido;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20.5 Emitir documento que contenha os dados do seguro e dos veículos, coberturas, valores contratados (importâncias seguradas), franquias, vigência do seguro, condições gerais e particulares que identifiquem o risco, assim como as modificações que se produzam durante a vigência do seguro;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20.6 Indicar representante tecnicamente qualificado, bem como, nome para contato, telefones, e-mail, e outros recursos para contatos;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20.7 Prover um serviço de atendimento com chamada gratuita, para comunicação com a Contratante em casos de acidentes, entregando para cada veículo um cartão com as referidas informações.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20.8 Garantir que em caso de o sinistro ocorrer dentro do prazo de pagamento do prêmio, sem que o mesmo tenha sido efetuado, o direito à indenização não ficará prejudicado se houver quitação do débito até a data do vencimento.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20.9 Reparar, corrigir, remover ou substituir, às suas expensas, no total ou em parte, no prazo fixado pelo fiscal do contrato, os serviços efetuados em que se verificarem vícios, defeitos ou incorreções resultantes da execução ou dos materiais empregados;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20.10 Responsabilizar-se pelos vícios e danos decorrentes da execução do objeto, bem como por todo e qualquer dano causado à União ou à entidade federal, devendo ressarcir imediatamente a Administração em sua integralidade, ficando a Contratante autorizada a descontar da garantia, caso exigida no edital, ou dos pagamentos devidos à Contratada, o valor correspondente aos danos sofridos;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20.11 Vedar a utilização, na execução dos serviços, de empregado que seja familiar de agente público ocupante de cargo em comissão ou função de confiança no órgão Contratante, nos termos do artigo 7° do Decreto n° 7.203, de 2010;</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20.12 Quando não for possível a verificação da regularidade no Sistema de Cadastro de Fornecedores SICAF, a empresa contratada deverá entregar ao setor responsável pela fiscalização do contrato, os seguintes documentos: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rPr>
        <w:t> </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1) prova de regularidade relativa à Seguridade Social;</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 certidão conjunta relativa aos tributos federais e à Dívida Ativa da União;</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3) certidões que comprovem a regularidade perante a Fazenda Municipal ou Distrital do domicílio ou sede do contratado;</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4) Certidão de Regularidade do FGTS CRF; e</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5) Certidão Negativa de Débitos Trabalhistas CNDT, conforme alínea "c" do item 10.2 do Anexo VIII-B da IN SEGES/MP n. 5/2017;</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20.13 Prestar todo esclarecimento ou informação solicitada pela Contratante ou por seus prepostos, garantindo-lhes o acesso, a qualquer tempo, aos documentos relativos à execução do objeto.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20.14 Paralisar, por determinação da Contratante, qualquer atividade que não esteja sendo executada de acordo com a boa técnica ou que ponha em risco a segurança de pessoas ou bens de terceiros.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20.15 Promover a organização técnica e administrativa dos serviços, de modo a conduzi-los eficaz e eficientemente, de acordo com os documentos e especificações que integram este Termo de Referência, no prazo determinado.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20.16 Conduzir os trabalhos com estrita observância às normas da legislação pertinente, cumprindo as determinações dos Poderes Públicos.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20.17 Não permitir a utilização de qualquer trabalho do menor de dezesseis anos, exceto na condição de aprendiz para os maiores de quatorze anos; nem permitir a utilização do trabalho do menor de dezoito anos em trabalho noturno, perigoso ou insalubre;</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20.18 Manter durante toda a vigência do contrato, em compatibilidade com as obrigações assumidas, todas as condições de habilitação e qualificação exigidas na licitação;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20.19 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20.20 Guardar sigilo sobre todas as informações obtidas em decorrência do cumprimento do contrato;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20.21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licitação, exceto quando ocorrer algum dos eventos arrolados nos incisos do § 1º do art. 57 da Lei nº 8.666, de 1993.</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20.22 Cumprir, além dos postulados legais vigentes de âmbito federal, estadual ou municipal, as normas de segurança da Contratante;</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20.23 Prestar os serviços dentro dos parâmetros e rotinas estabelecidos, fornecendo todos os materiais, equipamentos e utensílios em quantidade, qualidade e tecnologia adequadas, com a observância às recomendações aceitas pela boa técnica, normas e legislação;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20.24 Realizar a transição contratual com transferência de conhecimento, tecnologia e técnicas empregadas, sem perda de informações, podendo exigir, inclusive, a capacitação dos técnicos da contratante ou da nova empresa que continuará a execução dos serviços.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21.  DAS SANÇÕES ADMINISTRATIVAS DECRETO MUNICIPAL Nº. 16.875, DE 16 DE OUTUBRO DE 2.020</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21.1  Art. 21. Aos fornecedores que descumprirem total ou parcialmente os contratos celebrados com a Administração Pública Municipal, e aos licitantes que cometam atos visando frustrar os objetivos da licitação, serão aplicadas as seguintes sanções: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21.1.1 I - advertência: comunicação formal ao fornecedor, advertindo sobre o descumprimento de cláusulas contratuais e outras obrigações assumidas, e, conforme o caso, em que se confere prazo para a adoção das medidas conetivas cabíveis;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21.1.2 II - multa: deverá ser prevista no instrumento convocatório e/ou no contrato, observados os seguintes limites máximos: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21.1.2 a) 0,3 % (três décimos por cento) por dia, até o 30º (trigésimo) dia de atraso, sobre o valor do fornecimento ou serviço não realizado, ou sobre a etapa do cronograma físico de obras não cumprido;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21.1.2 b) 10 % (dez por cento) sobre o valor total ou parcial da obrigação não cumprida, com o consequente cancelamento da nota de empenho ou documento equivalente.</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21.1.3 III - suspensão temporária de participação em licitações e impedimento de contratar com a Administração, por prazo não superior a 2 (dois) anos;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21.1.4 IV -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no inciso anterior;</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21.1.5 §1º O valor da multa aplicada, nos temos do inciso II, será descontado do valor da garantia prestada, retido dos pagamentos devidos pela Administração ou cobrado judicialmente, sendo corrigida monetariamente, de conformidade com a variação do IPCA, a partir do termo inicial, até a data do efetivo recolhimento.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21.1.6 § 2° A pena de multa poderá ser aplicada cumulativamente com as demais sanções restritivas de direitos constantes deste Decreto.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21.1.7 § 3° A contagem do período de atraso na execução dos ajustes será realizada a partir do primeiro dia útil subsequente ao do encerramento do prazo estabelecido para o cumprimento da obrigação.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21.1.8 § 4° A suspensão temporária impedirá o fornecedor de licitar e contratar com a Administração Pública pelos seguintes prazos: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21.1.9 I. 6 (seis) meses, nos casos de:</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21.1.9 a) aplicação de duas penas de advertência, no prazo de 12 (doze) meses, sem que o fornecedor tenha adotado as medidas corretivas no prazo determinado pela Administração;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21.1.9 b) alteração da quantidade ou qualidade da mercadoria fornecida.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21.1.10 II. 12 (doze) meses, nos casos de:</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21.1.10 a) retardamento imotivado da execução de obra, de serviço, de suas parcelas ou do fornecimento de bens.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21.1.11 III. - 24 (vinte e quatro) meses, nos casos de:</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21.1.11 a) entregar como verdadeira, mercadoria falsificada, adulterada, deteriorada ou danificada;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21.1.11 b) paralisação de serviço, de obra ou de fornecimento de bens sem justa fundamentação e prévia comunicação à Administração;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21.1.11 c) praticar ato ilícito visando a frustrar os objetivos de licitação no âmbito da Administração Pública Municipal; ou</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21.1.11 d) sofrer condenação definitiva por praticar, por meio doloso, fraude fiscal no recolhimento de qualquer tributo.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21.1.12 § 5° Será declarado inidôneo, ficando impedido de licitar e contratar com a Administração Pública, por tempo indeterminado, o fornecedor que:</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21.1.12 I. não regularizar a inadimplência contratual nos prazos estipulados nos incisos do parágrafo anterior; ou</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21.1.12 II - demonstrar não possuir idoneidade para contratar com a Administração Pública, em virtude de ato ilícito praticado.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xml:space="preserve">21.1.13 § 6° Na modalidade pregão, ao fornecedor que, convocado dentro do prazo de validade de sua proposta, não celebrar o contrato, deixar de entregar ou apresentar documentação falsa exigida para o certame, ensejar o retardamento da execução do seu objeto, comportar-se de modo inidôneo ou cometer fraude fiscal, será aplicada penalidade de impedimento de licitar e contratar com o Município por prazo não superior a </w:t>
      </w:r>
      <w:r>
        <w:rPr>
          <w:rFonts w:hint="default" w:ascii="Arial" w:hAnsi="Arial" w:cs="Arial"/>
          <w:i/>
          <w:iCs/>
          <w:caps w:val="0"/>
          <w:color w:val="000000"/>
          <w:spacing w:val="0"/>
          <w:sz w:val="24"/>
          <w:szCs w:val="24"/>
          <w:shd w:val="clear" w:fill="FFFFFF"/>
          <w:vertAlign w:val="baseline"/>
        </w:rPr>
        <w:t xml:space="preserve">5 </w:t>
      </w:r>
      <w:r>
        <w:rPr>
          <w:rFonts w:hint="default" w:ascii="Arial" w:hAnsi="Arial" w:cs="Arial"/>
          <w:i w:val="0"/>
          <w:iCs w:val="0"/>
          <w:caps w:val="0"/>
          <w:color w:val="000000"/>
          <w:spacing w:val="0"/>
          <w:sz w:val="24"/>
          <w:szCs w:val="24"/>
          <w:shd w:val="clear" w:fill="FFFFFF"/>
          <w:vertAlign w:val="baseline"/>
        </w:rPr>
        <w:t>(cinco) anos, sendo descredenciado do Sistema de Cadastro de Fornecedores, sem prejuízo das multas previstas em edital e no contrato e das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demais cominações legais, aplicadas e dosadas segundo a natureza e a gravidade da falta cometida.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21.2 Art. 22. A aplicação das sanções administrativas previstas no § 6° e nos incisos I a III, caput, do art. 21, deste Decreto, são de competência dos ordenadores de despesa dos órgãos e entidades públicas.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21.2.1 Parágrafo único. A sanção prevista no inciso IV, caput, do art. 21 é de competência exclusiva do Secretário do Município.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21.3 Art. 23. A autoridade que aplicar as sanções estabelecidas no § 6° e nos incisos III e IV, caput, do art. 21, determinará a publicação do extrato de sua decisão no Diário Oficial dos Municípios, contendo: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21.3.1 I- nome ou razão social do fornecedor e número de inscrição no Cadastro Nacional de Pessoas Jurídicas - CNPJ ou no Cadastro de Pessoas Físicas - CPF;</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21.3.2 II - Sanção aplicada com os respectivos prazos de impedimento;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21.3.3 III - Órgão ou entidade e autoridade que aplicou a sanção;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21.3.4 IV - Número do processo e - data da publicação.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22. DOS RECURSOS ADMINISTRATIVOS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22.1 Dos atos da Comissão Processante instituída para condução do processo administrativo, cabem representação, no prazo de 5 (cinco) dias úteis, a contar da notificação do ato, no caso de recusa de juntada de documentos ou pareceres e de realização de providências.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22.2 É facultado ao fornecedor interpor recurso contra a aplicação das penas de advertência, suspensão temporária multa ou de impedimento de licitar e contratar nos termos do § 6º do art. 21deste decreto, no prazo de 5 (cinco) dias úteis, a contar da ciência da respectiva notificação.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xml:space="preserve">Parágrafo único. A autoridade que praticou o ato recorrido poderá reconsiderar sua decisão, no prazo de 5 (cinco) dias úteis, ou, nesse mesmo prazo, encaminhá-lo devidamente informado à autoridade superior integrante do mesmo órgão ou entidade, devendo, neste caso, a decisão ser proferida dentro do prazo de </w:t>
      </w:r>
      <w:r>
        <w:rPr>
          <w:rFonts w:hint="default" w:ascii="Arial" w:hAnsi="Arial" w:cs="Arial"/>
          <w:i/>
          <w:iCs/>
          <w:caps w:val="0"/>
          <w:color w:val="000000"/>
          <w:spacing w:val="0"/>
          <w:sz w:val="24"/>
          <w:szCs w:val="24"/>
          <w:shd w:val="clear" w:fill="FFFFFF"/>
          <w:vertAlign w:val="baseline"/>
        </w:rPr>
        <w:t xml:space="preserve">5 </w:t>
      </w:r>
      <w:r>
        <w:rPr>
          <w:rFonts w:hint="default" w:ascii="Arial" w:hAnsi="Arial" w:cs="Arial"/>
          <w:i w:val="0"/>
          <w:iCs w:val="0"/>
          <w:caps w:val="0"/>
          <w:color w:val="000000"/>
          <w:spacing w:val="0"/>
          <w:sz w:val="24"/>
          <w:szCs w:val="24"/>
          <w:shd w:val="clear" w:fill="FFFFFF"/>
          <w:vertAlign w:val="baseline"/>
        </w:rPr>
        <w:t>(cinco) dias úteis, contado do recebimento do recurso, sob pena de responsabilidade.</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22.3 A não interposição de recurso administrativo no prazo previsto nos artigos 24 e 25 deste Decreto, ou o seu julgamento definitivo pelo órgão colegiado competente, gerará o trânsito em julgado da decisão administrativa sancionatória proferida.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22.4 §1º. Encerrado o processo na esfera administrativa, a decisão final será publicada no Diário Oficial do Município.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22.5 §2º. Sendo apontada na decisão final a existência de eventual prática de ilícitos cíveis ou criminais, dar-se-á conhecimento de seu teor ao Ministério Público para as providências necessárias.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22.6 Do ato do Secretário do Município que aplicar a penalidade de declaração de</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inidoneidade cabe pedido de reconsideração, no prazo de 5 (cinco) dias úteis da notificação do ato.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22.7 Os recursos aqui previstos não terão efeito suspensivo.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 xml:space="preserve">23. DA INSCRIÇÃO DAS PENALIDADES NO CADASTRO NACIONAL DE EMPRESAS INIDONEAS E SUSPENSAS - CEIS </w:t>
      </w:r>
      <w:r>
        <w:rPr>
          <w:rFonts w:hint="default" w:ascii="Arial" w:hAnsi="Arial" w:cs="Arial"/>
          <w:b/>
          <w:bCs/>
          <w:i w:val="0"/>
          <w:iCs w:val="0"/>
          <w:caps w:val="0"/>
          <w:color w:val="000000"/>
          <w:spacing w:val="0"/>
          <w:sz w:val="24"/>
          <w:szCs w:val="24"/>
          <w:shd w:val="clear" w:fill="FFFFFF"/>
        </w:rPr>
        <w:t>DECRETO Nº. 16875 DE OUTUBRO DE 2020</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23.1 A Comissão de Controle de Empresas Consideradas Impedidas de Licitar com o Município de Ariquemes, devidamente instituída por decreto, promoverá a inscrição das penalidades que ensejarem na suspensão, impedimento e inidoneidade de licitantes aplicadas pela Administração Pública Municipal, por meio de Decreto, no Cadastro Nacional de Empresas Inidôneas e Suspensas CEIS.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23.2 Art. 30. Será incluída no CEIS a pessoa física ou jurídica apenada com as sanções previstas no § 6º e nos incisos III e IV, caput, do art. 21 deste Decreto.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23.3 Será imediatamente incluído no CEIS o fornecedor que, na data de entrada em vigor do Decreto Municipal nº. 16.875, de 16 de outubro de 2.020, esteja cumprindo penalidade prevista nos incisos III ou IV do art. 87, da Lei Federal n. 8.666, de 21 de junho de 1993, ou no art. 7°, da Lei Federal n.10.520, de 17 de julho de 2002.</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23.4 Fica assegurado aos órgãos e entidades da Administração Pública Municipal o livre acesso ao CEIS.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23.5 Os responsáveis pela realização de licitações no âmbito da Administração Pública Municipal consultarão o CEIS em todas as fases do procedimento licitatório, tomando as providências necessárias para que sejam excluídas do certame as pessoas físicas ou jurídicas nele inscritas.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23.6 Os ordenadores de despesa deverão diligenciar para que não sejam firmados contratos com as pessoas físicas ou jurídicas inscritas no CEIS, inclusive aqueles decorrentes de procedimentos de dispensa e inexigibilidade de licitação.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23.7 Art. 33. A Administração poderá rescindir unilateralmente os contratos com as pessoas físicas ou jurídicas penalizadas com as sanções previstas no § 6° e nos incisos III e IV, caput, do art. 21 deste Decreto.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xml:space="preserve">23.8 </w:t>
      </w:r>
      <w:r>
        <w:rPr>
          <w:rFonts w:hint="default" w:ascii="Arial" w:hAnsi="Arial" w:cs="Arial"/>
          <w:i w:val="0"/>
          <w:iCs w:val="0"/>
          <w:caps w:val="0"/>
          <w:color w:val="000000"/>
          <w:spacing w:val="0"/>
          <w:sz w:val="24"/>
          <w:szCs w:val="24"/>
          <w:shd w:val="clear" w:fill="FFFFFF"/>
        </w:rPr>
        <w:t>Parágrafo único</w:t>
      </w:r>
      <w:r>
        <w:rPr>
          <w:rFonts w:hint="default" w:ascii="Arial" w:hAnsi="Arial" w:cs="Arial"/>
          <w:i w:val="0"/>
          <w:iCs w:val="0"/>
          <w:caps w:val="0"/>
          <w:color w:val="000000"/>
          <w:spacing w:val="0"/>
          <w:sz w:val="24"/>
          <w:szCs w:val="24"/>
          <w:shd w:val="clear" w:fill="FFFFFF"/>
          <w:vertAlign w:val="baseline"/>
        </w:rPr>
        <w:t xml:space="preserve"> A rescisão de que trata o caput deste artigo deverá ser efetivada no prazo de </w:t>
      </w:r>
      <w:r>
        <w:rPr>
          <w:rFonts w:hint="default" w:ascii="Arial" w:hAnsi="Arial" w:cs="Arial"/>
          <w:b/>
          <w:bCs/>
          <w:i w:val="0"/>
          <w:iCs w:val="0"/>
          <w:caps w:val="0"/>
          <w:color w:val="000000"/>
          <w:spacing w:val="0"/>
          <w:sz w:val="24"/>
          <w:szCs w:val="24"/>
          <w:shd w:val="clear" w:fill="FFFFFF"/>
          <w:vertAlign w:val="baseline"/>
        </w:rPr>
        <w:t xml:space="preserve">até 30 (trinta) dias </w:t>
      </w:r>
      <w:r>
        <w:rPr>
          <w:rFonts w:hint="default" w:ascii="Arial" w:hAnsi="Arial" w:cs="Arial"/>
          <w:i w:val="0"/>
          <w:iCs w:val="0"/>
          <w:caps w:val="0"/>
          <w:color w:val="000000"/>
          <w:spacing w:val="0"/>
          <w:sz w:val="24"/>
          <w:szCs w:val="24"/>
          <w:shd w:val="clear" w:fill="FFFFFF"/>
          <w:vertAlign w:val="baseline"/>
        </w:rPr>
        <w:t>da publicação da sanção quando a paralisação do fornecimento de bens ou da prestação de serviços, objeto da contratação, puder gerar prejuízos para a Administração ou para os administrados.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23.9 Os ordenadores de despesa dos órgãos da Administração Pública Municipal deverão enviar, até o dia 10 (dez) do mês subsequente à aplicação da sanção, a relação dos fornecedores a serem inscritos no CEIS, para a Comissão de Controle de Empresas Consideradas Impedidas de Licitar com o Município de Ariquemes.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23.10 No caso de inscrição no CEIS, por iniciativa dos demais Poderes, o respectivo titular promoverá o encaminhamento da relação dos fornecedores.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23.11 O saneamento integral da inadimplência contratual que deu origem à inclusão da pessoa física ou jurídica no CEIS determinará a sua imediata exclusão dele e o restabelecimento do direito de licitar e contratar com os órgãos e entidades da Administração Pública Municipal, observado o cumprimento do prazo da penalidade imposta com base no inciso III, do art. 87, da Lei Federal n. 8.666, de 21 de junho de 1993.</w:t>
      </w:r>
    </w:p>
    <w:p>
      <w:pPr>
        <w:pStyle w:val="29"/>
        <w:keepNext w:val="0"/>
        <w:keepLines w:val="0"/>
        <w:widowControl/>
        <w:suppressLineNumbers w:val="0"/>
        <w:bidi w:val="0"/>
        <w:spacing w:before="0" w:beforeAutospacing="0" w:after="0" w:afterAutospacing="0" w:line="15" w:lineRule="atLeast"/>
        <w:ind w:left="0" w:right="0"/>
        <w:jc w:val="both"/>
      </w:pP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24. CONDIÇÕES DE PARTICIPAÇÃO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24.1 Trata-se de serviço comum de caráter continuado sem fornecimento de mão de obra em regime de dedicação exclusiva, a ser contratado mediante licitação, na modalidade pregão, em sua forma eletrônica.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24.2 A prestação dos serviços não gera vínculo empregatício entre os empregados da Contratada e a Administração Contratante, vedando-se qualquer relação entre estes que caracterize pessoalidade e subordinação direta.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24.3 Poderão participar deste certame, todas as empresas do ramo pertinente ao objeto do presente Termo de Referência, devidamente qualificado, mediante comprovação das regularidades fiscais, obedecendo à legislação que rege a matéria;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24.4 Poderão participar empresas que se encontrem em recuperação judicial e/ou extrajudicial.</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24.5 Não poderão participar as empresas enquadradas em quaisquer das hipóteses a seguir elencadas: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24.5.1 Que se encontrem sob falência, concurso de credores, dissolução ou liquidação;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24.5.2 Que em regime de consórcio, qualquer que seja sua forma de constituição, sejam controladoras, coligadas ou subsidiárias entre si, sendo que, neste caso, a união de esforços se faz necessária, apenas na questão de alta complexidade e de relevante vulto, que impeçam a participação isolada de empresas, o que não é o caso do objeto em questão. A formação de Consórcios nesta licitação poderá ensejar na redução do caráter competitivo do certame, visto que, trata-se de fornecimento de bem comum;</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24.5.2.1 A vedação à participação de empresas interessadas que se apresentem constituídas sob a forma de consórcio se justifica na medida em que nas contratações de serviços e nas aquisições de pequenos vultos, não se torna interessante a participação de grandes empresas, sendo comum a participação de empresas de pequeno e médio porte, às quais, em sua maioria, apresentam o mínimo exigido no tocante à qualificação técnica e econômico-financeira, condições suficientes para a execução de contratos dessa natureza;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24.5.2.2 Tendo em vista que é prerrogativa do Poder Público, na condição de contratante, a escolha da participação, ou não, de empresas constituídas sob a forma de consórcio, com as devidas justificativas, conforme se depreende da literalidade do texto da Lei Federal nº 8.666/93, art. 33 e ainda o entendimento do Acórdão TCU nº 1316/2010, que atribui à Administração a prerrogativa de admissão de consórcios em licitações por ela promovidas, pelos motivos já expostos, conclui-se que a vedação de constituição de empresas em consórcio, neste certame, é o que melhor atende o interesse público, por prestigiar os princípios da competitividade, economicidade e moralidade;</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24.5.3 Que, por quaisquer motivos, tenham sido declaradas inidôneas ou punidas com suspensão por órgão da Administração Pública Direta ou Indireta, nas esferas Federal, Estadual ou Municipal, desde que o Ato tenha sido publicado na imprensa oficial, conforme o caso, pelo órgão que o praticou enquanto perdurarem os motivos determinantes da punição;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24.5.4 Que, por quaisquer motivos, tenham sido declaradas inidôneas ou punidas com suspensão por órgão da Administração Pública Direta ou Indireta, na esfera Federal, Estadual ou Municipal, desde que o Ato tenha sido publicado na imprensa oficial, pelo órgão que a praticou, enquanto perdurarem os motivos determinantes da punição;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24.5.5 Empresas estrangeiras que não atenderem as exigências de habilitação, onde tais serão exigidas mediante documentação equivalente, autenticada pelos respectivos consulados e traduzida por tradutor juramentado de Boas Práticas de Fabricação.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24.5.6 Não será admitida a participação de empresas que possuam nos seus quadros, funcionários ou servidores do MUNICÍPIO DE ARIQUEMES, inclusive na condição de sócio ou dirigente.</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25. DO FATURAMENTO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25.1 Deverão ser apresentadas na Secretaria Municipal de Desenvolvimento Social, as Notas Fiscais/Faturas, emitidas em 03 (três) vias, em favor do:</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xml:space="preserve">· </w:t>
      </w:r>
      <w:r>
        <w:rPr>
          <w:rFonts w:hint="default" w:ascii="Arial" w:hAnsi="Arial" w:cs="Arial"/>
          <w:b/>
          <w:bCs/>
          <w:i w:val="0"/>
          <w:iCs w:val="0"/>
          <w:caps w:val="0"/>
          <w:color w:val="000000"/>
          <w:spacing w:val="0"/>
          <w:sz w:val="24"/>
          <w:szCs w:val="24"/>
          <w:shd w:val="clear" w:fill="FFFFFF"/>
          <w:vertAlign w:val="baseline"/>
        </w:rPr>
        <w:t>Fundo Municipal de Assistência Social - FMAS</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CNPJ: 14.749.953/0001-61</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Endereço: Avenida Jamari, 4615 Setor 02</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Cidade: Ariquemes - Estado: Rondônia - CEP: 76.873-125</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Telefone(s): (69) 3536-0206.</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25.2 No corpo da nota deverá conter:</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a descrição do material que deve ser pela Denominação Comum Brasileira DCB (Lei 9.787, de 10.02.99);</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lote e respectiva validade dos materiais;</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o número da cotação, Processo, Empenho;</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número da Conta Bancária da empresa, para depósito do pagamento.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xml:space="preserve">25.3 No caso das Notas Fiscais/Fatura apresentarem erros ou dúvidas quanto à exatidão ou documentação, a CONTRATANTE poderá pagar apenas a parcela não controvertida no prazo fixado para pagamento, ressalvado o direito da futura CONTRATADA de representar para cobrança, as partes controvertidas com devidas justificativas, nestes casos, a CONTRATANTE terá o prazo de até </w:t>
      </w:r>
      <w:r>
        <w:rPr>
          <w:rFonts w:hint="default" w:ascii="Arial" w:hAnsi="Arial" w:cs="Arial"/>
          <w:b/>
          <w:bCs/>
          <w:i w:val="0"/>
          <w:iCs w:val="0"/>
          <w:caps w:val="0"/>
          <w:color w:val="000000"/>
          <w:spacing w:val="0"/>
          <w:sz w:val="24"/>
          <w:szCs w:val="24"/>
          <w:shd w:val="clear" w:fill="FFFFFF"/>
          <w:vertAlign w:val="baseline"/>
        </w:rPr>
        <w:t xml:space="preserve">05 (cinco) dias úteis, </w:t>
      </w:r>
      <w:r>
        <w:rPr>
          <w:rFonts w:hint="default" w:ascii="Arial" w:hAnsi="Arial" w:cs="Arial"/>
          <w:i w:val="0"/>
          <w:iCs w:val="0"/>
          <w:caps w:val="0"/>
          <w:color w:val="000000"/>
          <w:spacing w:val="0"/>
          <w:sz w:val="24"/>
          <w:szCs w:val="24"/>
          <w:shd w:val="clear" w:fill="FFFFFF"/>
          <w:vertAlign w:val="baseline"/>
        </w:rPr>
        <w:t>a partir do recebimento, para efetuar analise e pagamento devidamente atestas pela CONTRATANTE, conforme dispões no art. 73 da Lei nº 8.666, de 1993. As Notas Fiscais deverão vir acompanhadas dos respectivos comprovantes de recolhimento de encargos sociais (INSS e FGTS) e certidões de regularidade fiscal (municipal, estadual e federal), conforme determina a Lei.</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25.4 No preço ofertado deverão estar inclusos todos os insumos que o compõem, tais como as despesas com mão de obra, materiais, equipamentos, impostos, taxas, fretes, descontos, e quaisquer outros que incidam direta ou indiretamente na execução do objeto deste processo.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25.5 Não será efetuado qualquer pagamento à (s) empresa (s) Contratada (s) enquanto houver pendência de liquidação da obrigação financeira em virtude de penalidade ou inadimplência contratual.</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26. DO INSTRUMENTO CONTRATUAL</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26.1 O Instrumento Contratual obedecerá o Art. 62. O instrumento de contrato é obrigatório nos casos de concorrência e de tomada de preços, bem como nas dispensas e inexigibilidades cujos preços estejam compreendidos nos limites destas duas modalidades de licitação, e facultativo nos demais em que a Administração puder substituí-lo por outros instrumentos hábeis, tais como carta-contrato, nota de empenho de despesa, autorização de compra ou ordem de execução de serviço.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1º A minuta do futuro contrato integrará sempre o edital ou ato convocatório da licitação.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2º Em "carta contrato", "nota de empenho de despesa", "autorização de compra", "ordem de execução de serviço" ou outros instrumentos hábeis aplica-se, no que couber, o disposto no art. 55 desta Lei. (Redação dada pela Lei nº 8.883, de 1994)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27. DO TERMO DE CONTRATO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27.1 Previamente à contratação, será realizada consulta ao SICAF, pela contratante, para identificar possível proibição de contratar com o Poder Público.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27.2 Antes da assinatura do Termo de Contrato ou aceite do instrumento equivalente, a Administração realizará consulta on line ao SICAF, bem como ao Cadastro Informativo de Créditos não Quitados CADIN, cujos resultados serão anexados aos autos do processo.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27.2.1 Na hipótese de irregularidade do registro no SICAF, o contratado deverá regularizar a sua situação perante o cadastro no prazo de até 05 (cinco) dias, sob pena de aplicação das penalidades previstas no edital e anexos.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27.3 Se o adjudicatário, no ato da assinatura do Termo de Contrato ou aceite do instrumento equivalente, não comprovar que mantém as mesmas condições de habilitação, ou quando, injustificadamente, recusar-se à assinatura ou aceite, poderá ser convocado outro licitante, desde que respeitada a ordem de classificação, para, após a verificação da aceitabilidade da proposta, negociação e comprovados os requisitos de habilitação, celebrar a contratação, sem prejuízo das sanções previstas neste Edital e das demais cominações legais.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xml:space="preserve">27.4 </w:t>
      </w:r>
      <w:r>
        <w:rPr>
          <w:rFonts w:hint="default" w:ascii="Arial" w:hAnsi="Arial" w:cs="Arial"/>
          <w:b/>
          <w:bCs/>
          <w:i w:val="0"/>
          <w:iCs w:val="0"/>
          <w:caps w:val="0"/>
          <w:color w:val="000000"/>
          <w:spacing w:val="0"/>
          <w:sz w:val="24"/>
          <w:szCs w:val="24"/>
          <w:shd w:val="clear" w:fill="FFFFFF"/>
          <w:vertAlign w:val="baseline"/>
        </w:rPr>
        <w:t>MODELO DE GESTÃO DO CONTRATO E CRITÉRIOS DE MEDIÇÃO: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27.4.1 O acompanhamento, gestão e a fiscalização do contrato serão exercidos por um ou mais representantes da Contratante, especialmente designados.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27.4.2 A Contratante verificará, com base nos critérios previstos neste Termo de Referência, a conformidade da prestação dos serviços e da alocação dos recursos necessários, de forma a assegurar o perfeito cumprimento do contrato, na forma dos arts. 67 e 73 da Lei nº 8.666, de 1993.</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27.4.3 A Contratada deverá indicar um ou mais prepostos para representá-la durante a vigência do contrato.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27.4.4 A comunicação entre a Contratante e a empresa Contratada se dará por correspondência, e-mail ou telefone, devendo a Contratada dispor de pessoal capacitado nestes canais para atendimento às demandas da Contratante.</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27.4.5 Para efeito de pagamento a Contratada irá emitir Nota(s) Fiscal(is) com o valor total da Apólice para todos os veículos, para o período de um ano. Portanto não ocorrerá aferição/medição mensal dos serviços.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27.4.5.1 Na ocorrência de sinistros poderão ser emitidas Notas Fiscais/Faturas para pagamentos dos serviços.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27.4.6 O representante da Contratante promoverá o registro das ocorrências verificadas, bem como manterá contato com os usuários dos veículos a fim de obter informações acerca do atendimento da Contratada quando solicitado.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27.4.7 O representante da Contratante adotará as providências necessárias ao fiel cumprimento das cláusulas contratuais, conforme o disposto nos §§ 1º e 2º do art. 67 da Lei nº 8.666, de 1993.</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27.4.8 O descumprimento total ou parcial das demais obrigações e responsabilidades assumidas pela Contratada ensejará a aplicação de sanções administrativas, previstas neste Termo de Referência e na legislação vigente, podendo culminar em rescisão contratual, conforme disposto nos artigos 77 e 80 da Lei nº 8.666, de 1993.</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27.5 CONDIÇÕES PARA ASSINATURA DO CONTRATO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27.5.1 PRAZO DA CONTRATAÇÃO/VIGÊNCIA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20.5.1.1 O prazo de vigência do futuro contrato será de 12 (doze) meses, contados da sua assinatura, podendo o mesmo ser prorrogado em conformidade com disposto no inciso II do Art. 57, da lei n° 8.666/93, mediante interesse ou necessidade da Administração ou a pedido da parte, havendo justificativa, mantidas as mesmas condições compactuadas.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27.5.2 DA TRANSFERÊNCIA DO CONTRATO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27.5.2.1 É vedada a cessão ou transferência total ou parcial de quaisquer direitos e/ou obrigações inerentes ao presente contrato por qualquer das partes, sem prévia e expressa autorização da outra.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27.5.3 DA ASSINATURA DO CONTRATO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27.5.3.1 O Município convocará as empresas para assinatura do Contrato Administrativo; 27.5.3.2 Para assinatura do Contrato Administrativo, as empresas terão o prazo de 5 (cinco) dias úteis, contados a partir da data de sua convocação, e suas alterações, e se dará de forma eletrônica via email, permitindo-se a prorrogação por igual período, na forma do § 1º, do art. 64, da Lei nº. 8.666/93, por solicitação justificada do fornecedor, e aceita pela Administração. 19.4.3.3 É condição para pagamento que os contratos decorrentes das aquisições estejam devidamente assinados pelas partes e o extrato do contrato será publicado nos mesmos meios da publicação do aviso do pregão eletrônico.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27.5.4 RESCISÃO DO CONTRATO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27.5.4.1 A inexecução total ou parcial do contrato enseja a sua rescisão, com as consequências contratuais e as previstas em lei ou regulamento administrativo;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27.5.4.2 Poderão ser motivos de rescisão contratual, as hipóteses descritas no Art. 77 e 78 da lei 8.666/93, podendo a mesma ser unilateral, amigável ou judicial, podendo ocorrer nos termos e condições do Art.79 da referida lei e suas alterações;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27.5.4.3 A CONTRATADA reconhece os direitos da CONTRATANTE nos casos de rescisão dos Art. 77 a 80 da lei 8.666/93.</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27.5.5 DO REAJUSTE DO CONTRATO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27.5.5.1 Durante o prazo de vigência do Contrato, os preços serão irreajustáveis;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27.5.5.2 Ao fim dos doze meses iniciais de vigência do Contrato, caso decidido pela sua prorrogação, os reajustes serão corrigidos pelo índice do IGP-M da Fundação Getúlio Vargas, ou outro que venha substituí-lo.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28. DA SUBCONTRATAÇÃO CESSÃO E/OU TRANSFERÊNCIA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28.1 É vedada a subcontratação total ou parcial do objeto deste termo, pela contratada à outra empresa, a cessão ou transferência total ou parcial do objeto licitado.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29. REQUISITOS DA CONTRATAÇÃO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29.1. Conforme Estudos Preliminares, os requisitos da contratação abrangem o seguinte:</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29.1.1  Contratação de empresa especializada na prestação de serviços de seguro veicular.</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29.1.2  A contratação tem caráter continuado, uma vez que se faz necessário manter um contrato de seguro dos veículos de maneira contínua, para que não ocorra interrupção dos serviços, o que prejudicaria as atividades do órgão.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29.1.3 A duração inicial do contrato será de 12 meses.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29.2. Declaração do licitante de que tem pleno conhecimento das condições necessárias para a prestação do serviço.</w:t>
      </w:r>
    </w:p>
    <w:p>
      <w:pPr>
        <w:pStyle w:val="29"/>
        <w:keepNext w:val="0"/>
        <w:keepLines w:val="0"/>
        <w:widowControl/>
        <w:suppressLineNumbers w:val="0"/>
        <w:bidi w:val="0"/>
        <w:spacing w:before="0" w:beforeAutospacing="0" w:after="0" w:afterAutospacing="0" w:line="15" w:lineRule="atLeast"/>
        <w:ind w:left="0" w:right="0"/>
        <w:jc w:val="both"/>
        <w:rPr>
          <w:rFonts w:hint="default" w:ascii="Arial" w:hAnsi="Arial" w:cs="Arial"/>
          <w:i w:val="0"/>
          <w:iCs w:val="0"/>
          <w:caps w:val="0"/>
          <w:color w:val="000000"/>
          <w:spacing w:val="0"/>
          <w:sz w:val="24"/>
          <w:szCs w:val="24"/>
          <w:shd w:val="clear" w:fill="FFFFFF"/>
          <w:vertAlign w:val="baseline"/>
        </w:rPr>
      </w:pPr>
      <w:r>
        <w:rPr>
          <w:rFonts w:hint="default" w:ascii="Arial" w:hAnsi="Arial" w:cs="Arial"/>
          <w:i w:val="0"/>
          <w:iCs w:val="0"/>
          <w:caps w:val="0"/>
          <w:color w:val="000000"/>
          <w:spacing w:val="0"/>
          <w:sz w:val="24"/>
          <w:szCs w:val="24"/>
          <w:shd w:val="clear" w:fill="FFFFFF"/>
          <w:vertAlign w:val="baseline"/>
        </w:rPr>
        <w:t>29.3. As obrigações da Contratada e do Contratante estão previstas neste TR.</w:t>
      </w:r>
    </w:p>
    <w:p>
      <w:pPr>
        <w:pStyle w:val="29"/>
        <w:keepNext w:val="0"/>
        <w:keepLines w:val="0"/>
        <w:widowControl/>
        <w:suppressLineNumbers w:val="0"/>
        <w:bidi w:val="0"/>
        <w:spacing w:before="0" w:beforeAutospacing="0" w:after="0" w:afterAutospacing="0" w:line="15" w:lineRule="atLeast"/>
        <w:ind w:left="0" w:right="0"/>
        <w:jc w:val="both"/>
        <w:rPr>
          <w:rFonts w:hint="default" w:ascii="Arial" w:hAnsi="Arial" w:cs="Arial"/>
          <w:i w:val="0"/>
          <w:iCs w:val="0"/>
          <w:caps w:val="0"/>
          <w:color w:val="000000"/>
          <w:spacing w:val="0"/>
          <w:sz w:val="24"/>
          <w:szCs w:val="24"/>
          <w:shd w:val="clear" w:fill="FFFFFF"/>
          <w:vertAlign w:val="baseline"/>
        </w:rPr>
      </w:pP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30. DA PARTICIPAÇÃO DE EMPRESAS REUNIDAS SOB A FORMA DE CONSÓRCIO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30.1 Tendo em vista que, é prerrogativa do Poder Público, na condição de contratante, a escolha da participação, ou não, de empresas constituídas sob a forma de consórcio, com as devidas justificativas, conforme se depreende da literalidade do texto da Lei Federal nº 8.666/93, art. 33 e ainda o entendimento do Acórdão TCU nº 1316/2010, que atribui à Administração a prerrogativa de admissão de consórcios em licitações por ela promovidas;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30.2 Fica vedada a participação de empresas reunidas sob a forma de consórcio, sendo que neste caso o objeto a ser licitado não envolve questões de alta complexidade técnica, ao ponto de haver necessidade de parcelamento do objeto, através da união de esforços.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31. DA NÃO UTILIZAÇÃO DE LOTES EXCLUSIVAS E COTAS RESERVADAS DA LEI COMPLEMENTAR 123/2006 (Art. 48, I e III)</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31.1 Muito embora por imposição da Lei Complementar nº 123/2006, por força do art. 48, I e III, o qual prevê que a administração pública deverá realizar processo licitatório destinado exclusivamente para a participação das ME/EPP/MEI nos itens com valores até R$ 80.000,00 e, ainda em itens com valores superiores a estes aplicar a divisão de cotas de até 25% para a contratação das ME/EPP/MEI, existem casos em que tal aplicação não se torna viável e nem tão pouco vantajoso para a administração pública.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31.2 Desta forma, a contratação a que se pretende, neste procedimento, trata-se de serviços que por sua natureza são oferecidos diretamente por grandes distribuidores ou até mesmo pelos seus fabricantes, e a aplicação dos benefícios inibirá a participação dessas possíveis proponentes e, por conseguinte diminuirá a concorrência e poderá incidir em contratação menos vantajosa.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31.3 A não aplicação das regras previstas nos artigos 47 e 48 da Lei Complementar nº 123/2006 objetiva a ampliação da competitividade, pois sendo a licitação de ampla participação possibilita a participação de todas as empresas interessadas, independentemente de seu enquadramento, ressaltando-se que não haverá óbice a aplicação das demais regras de tratamento diferenciado e favorecido previstas Lei Complementar nº 123/2006 relativas às contratações públicas.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31.4 A metodologia para aplicação da prestação de serviços de seguro total para veículos leves e pesados buscando a secretaria aumentar  o ganho de escala, porém será necessário que a empresa tenha estrutura e logística para entregar os serviços no prazo estabelecido além de cumprir com todas as obrigações contratuais como garantias e assistência técnica no prazo da garantia. Restringindo a participação em cumprimento dos requisitos da Lei Complementar nº 123/2006 para promoção da participação das ME/EPP/MEI, pode frustrar a finalidade da contratação e por fim prejudicar as atividades finalísticas da administração pública.</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31.5 Portanto, visando a ampliação da concorrência e ao princípio da eficiência recomendo que a licitação seja realizada através da modalidade Pregão na sua forma Eletrônica com participação aberta e aplicando-se os demais tratamento diferenciado e simplificado previstos na Lei nº 123/2006.</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31.6 Para melhor respaldar nossa escolha, invocamos o previsto no art. 49, III da referida Lei Complementar, vejamos: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iCs/>
          <w:caps w:val="0"/>
          <w:color w:val="000000"/>
          <w:spacing w:val="0"/>
          <w:sz w:val="24"/>
          <w:szCs w:val="24"/>
          <w:shd w:val="clear" w:fill="FFFFFF"/>
          <w:vertAlign w:val="baseline"/>
        </w:rPr>
        <w:t>Art. 49. Não se aplica o disposto nos arts. 47 e 48 desta Lei Complementar quando: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iCs/>
          <w:caps w:val="0"/>
          <w:color w:val="000000"/>
          <w:spacing w:val="0"/>
          <w:sz w:val="24"/>
          <w:szCs w:val="24"/>
          <w:shd w:val="clear" w:fill="FFFFFF"/>
          <w:vertAlign w:val="baseline"/>
        </w:rPr>
        <w:t>III o tratamento diferenciado e simplificado para as microempresas e empresas de pequeno porte não for vantajoso para a administração pública ou representar prejuízo ao conjunto ou complexo do objeto a ser contratado;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32. DO FORO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32.1 Fica eleito o Foro da Justiça Estadual, Seção Judiciária de Ariquemes do Estado de Rondônia, com exclusão de qualquer outro, por mais privilegiado que seja, para dirimir quaisquer dúvidas ou controvérsias oriundas desta licitação, que não puderem ser solucionadas administrativamente.</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33. INFORMAÇÕES GERAIS</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33.1 Mais informações poderão ser adquiridas pelo telefone (0xx69) 3536-0206, da Secretaria Municipal de Desenvolvimento Social, situada na Avenida Jamari, esquina c/Rua Cardeal, Ariquemes/RO, no período compreendido das 07h30min às 13h30min horas, de segunda à sexta-feira, fone: (69) 3536-0206, ou, outro determinado pela Administração quando da ocasião da retirada da nota de empenho.</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rPr>
        <w:t> </w:t>
      </w:r>
    </w:p>
    <w:p>
      <w:pPr>
        <w:pStyle w:val="29"/>
        <w:keepNext w:val="0"/>
        <w:keepLines w:val="0"/>
        <w:widowControl/>
        <w:suppressLineNumbers w:val="0"/>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33.2 O presente Termo de Referência foi elaborado por Roseli Silva Santos e revisado pelo Sr. Vicente Ferreira do Nascimento Neto - Gerente de Compras e Aprovado pela Secretária: Rodineia Pereira Gouvea, Secretária de Desenvolvimento Social</w:t>
      </w:r>
      <w:r>
        <w:rPr>
          <w:rFonts w:hint="default" w:ascii="Arial" w:hAnsi="Arial" w:cs="Arial"/>
          <w:i w:val="0"/>
          <w:iCs w:val="0"/>
          <w:caps w:val="0"/>
          <w:color w:val="000000"/>
          <w:spacing w:val="0"/>
          <w:sz w:val="24"/>
          <w:szCs w:val="24"/>
          <w:shd w:val="clear" w:fill="FFFFFF"/>
        </w:rPr>
        <w:t>.</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right"/>
      </w:pPr>
      <w:r>
        <w:rPr>
          <w:rFonts w:hint="default" w:ascii="Arial" w:hAnsi="Arial" w:cs="Arial"/>
          <w:i w:val="0"/>
          <w:iCs w:val="0"/>
          <w:caps w:val="0"/>
          <w:color w:val="000000"/>
          <w:spacing w:val="0"/>
          <w:sz w:val="24"/>
          <w:szCs w:val="24"/>
          <w:shd w:val="clear" w:fill="FFFFFF"/>
          <w:vertAlign w:val="baseline"/>
        </w:rPr>
        <w:t>      Ariquemes, 06 de Dezembro de 2021.</w:t>
      </w:r>
    </w:p>
    <w:p>
      <w:pPr>
        <w:pStyle w:val="29"/>
        <w:keepNext w:val="0"/>
        <w:keepLines w:val="0"/>
        <w:widowControl/>
        <w:suppressLineNumbers w:val="0"/>
        <w:bidi w:val="0"/>
        <w:spacing w:before="0" w:beforeAutospacing="0" w:after="24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w:t>
      </w:r>
    </w:p>
    <w:tbl>
      <w:tblPr>
        <w:tblStyle w:val="12"/>
        <w:tblW w:w="101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2525"/>
        <w:gridCol w:w="3050"/>
        <w:gridCol w:w="452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986" w:hRule="atLeast"/>
        </w:trPr>
        <w:tc>
          <w:tcPr>
            <w:tcW w:w="2525" w:type="dxa"/>
            <w:tcBorders>
              <w:top w:val="single" w:color="808080" w:sz="2" w:space="0"/>
              <w:left w:val="single" w:color="808080" w:sz="2" w:space="0"/>
              <w:bottom w:val="single" w:color="808080" w:sz="2" w:space="0"/>
              <w:right w:val="single" w:color="808080" w:sz="2" w:space="0"/>
            </w:tcBorders>
            <w:shd w:val="clear" w:color="auto" w:fill="auto"/>
            <w:tcMar>
              <w:top w:w="100" w:type="dxa"/>
              <w:left w:w="100" w:type="dxa"/>
              <w:bottom w:w="100" w:type="dxa"/>
              <w:right w:w="100" w:type="dxa"/>
            </w:tcMar>
            <w:vAlign w:val="top"/>
          </w:tcPr>
          <w:p>
            <w:pPr>
              <w:pStyle w:val="2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pPr>
            <w:r>
              <w:rPr>
                <w:rFonts w:hint="default" w:ascii="Arial" w:hAnsi="Arial" w:cs="Arial"/>
                <w:sz w:val="24"/>
                <w:szCs w:val="24"/>
                <w:vertAlign w:val="baseline"/>
              </w:rPr>
              <w:t>Elaborado por:</w:t>
            </w:r>
          </w:p>
          <w:p>
            <w:pPr>
              <w:pStyle w:val="2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textAlignment w:val="auto"/>
            </w:pPr>
          </w:p>
          <w:p>
            <w:pPr>
              <w:pStyle w:val="2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7"/>
                <w:szCs w:val="27"/>
              </w:rPr>
            </w:pPr>
            <w:r>
              <w:rPr>
                <w:rFonts w:hint="default" w:ascii="Arial" w:hAnsi="Arial" w:cs="Arial"/>
                <w:sz w:val="24"/>
                <w:szCs w:val="24"/>
                <w:vertAlign w:val="baseline"/>
              </w:rPr>
              <w:t>Roseli Silva Santos</w:t>
            </w:r>
          </w:p>
          <w:p>
            <w:pPr>
              <w:pStyle w:val="2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7"/>
                <w:szCs w:val="27"/>
              </w:rPr>
            </w:pPr>
            <w:r>
              <w:rPr>
                <w:rFonts w:hint="default" w:ascii="Arial" w:hAnsi="Arial" w:cs="Arial"/>
                <w:sz w:val="24"/>
                <w:szCs w:val="24"/>
                <w:vertAlign w:val="baseline"/>
              </w:rPr>
              <w:t>Mat. 9242-8</w:t>
            </w:r>
          </w:p>
        </w:tc>
        <w:tc>
          <w:tcPr>
            <w:tcW w:w="3050" w:type="dxa"/>
            <w:tcBorders>
              <w:top w:val="single" w:color="808080" w:sz="2" w:space="0"/>
              <w:left w:val="single" w:color="808080" w:sz="2" w:space="0"/>
              <w:bottom w:val="single" w:color="808080" w:sz="2" w:space="0"/>
              <w:right w:val="single" w:color="808080" w:sz="2" w:space="0"/>
            </w:tcBorders>
            <w:shd w:val="clear" w:color="auto" w:fill="auto"/>
            <w:tcMar>
              <w:top w:w="100" w:type="dxa"/>
              <w:left w:w="100" w:type="dxa"/>
              <w:bottom w:w="100" w:type="dxa"/>
              <w:right w:w="100" w:type="dxa"/>
            </w:tcMar>
            <w:vAlign w:val="top"/>
          </w:tcPr>
          <w:p>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default"/>
                <w:sz w:val="27"/>
                <w:szCs w:val="27"/>
                <w:lang w:val="pt-BR"/>
              </w:rPr>
            </w:pPr>
            <w:r>
              <w:rPr>
                <w:rFonts w:hint="default" w:ascii="Arial" w:hAnsi="Arial" w:cs="Arial"/>
                <w:sz w:val="24"/>
                <w:szCs w:val="24"/>
                <w:vertAlign w:val="baseline"/>
              </w:rPr>
              <w:t>Revisado por</w:t>
            </w:r>
            <w:r>
              <w:rPr>
                <w:rFonts w:hint="default" w:ascii="Arial" w:hAnsi="Arial" w:cs="Arial"/>
                <w:sz w:val="24"/>
                <w:szCs w:val="24"/>
                <w:vertAlign w:val="baseline"/>
                <w:lang w:val="pt-BR"/>
              </w:rPr>
              <w:t>:</w:t>
            </w:r>
          </w:p>
          <w:p>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sz w:val="27"/>
                <w:szCs w:val="27"/>
              </w:rPr>
            </w:pPr>
          </w:p>
          <w:p>
            <w:pPr>
              <w:pStyle w:val="2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7"/>
                <w:szCs w:val="27"/>
              </w:rPr>
            </w:pPr>
            <w:r>
              <w:rPr>
                <w:rFonts w:hint="default" w:ascii="Arial" w:hAnsi="Arial" w:cs="Arial"/>
                <w:sz w:val="24"/>
                <w:szCs w:val="24"/>
                <w:vertAlign w:val="baseline"/>
              </w:rPr>
              <w:t xml:space="preserve">Vicente Ferreira do Nascimento Neto Gerente de Compras Mat. </w:t>
            </w:r>
          </w:p>
          <w:p>
            <w:pPr>
              <w:pStyle w:val="2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7"/>
                <w:szCs w:val="27"/>
              </w:rPr>
            </w:pPr>
            <w:r>
              <w:rPr>
                <w:rFonts w:hint="default" w:ascii="Arial" w:hAnsi="Arial" w:cs="Arial"/>
                <w:sz w:val="24"/>
                <w:szCs w:val="24"/>
                <w:vertAlign w:val="baseline"/>
              </w:rPr>
              <w:t>Mat.7829-8</w:t>
            </w:r>
          </w:p>
        </w:tc>
        <w:tc>
          <w:tcPr>
            <w:tcW w:w="4525" w:type="dxa"/>
            <w:tcBorders>
              <w:top w:val="single" w:color="808080" w:sz="2" w:space="0"/>
              <w:left w:val="single" w:color="808080" w:sz="2" w:space="0"/>
              <w:bottom w:val="single" w:color="808080" w:sz="2" w:space="0"/>
              <w:right w:val="single" w:color="808080" w:sz="2" w:space="0"/>
            </w:tcBorders>
            <w:shd w:val="clear" w:color="auto" w:fill="auto"/>
            <w:tcMar>
              <w:top w:w="100" w:type="dxa"/>
              <w:left w:w="100" w:type="dxa"/>
              <w:bottom w:w="100" w:type="dxa"/>
              <w:right w:w="100" w:type="dxa"/>
            </w:tcMar>
            <w:vAlign w:val="top"/>
          </w:tcPr>
          <w:p>
            <w:pPr>
              <w:pStyle w:val="29"/>
              <w:keepNext w:val="0"/>
              <w:keepLines w:val="0"/>
              <w:pageBreakBefore w:val="0"/>
              <w:widowControl/>
              <w:suppressLineNumbers w:val="0"/>
              <w:kinsoku/>
              <w:wordWrap/>
              <w:overflowPunct/>
              <w:topLinePunct w:val="0"/>
              <w:autoSpaceDE/>
              <w:autoSpaceDN/>
              <w:bidi w:val="0"/>
              <w:adjustRightInd/>
              <w:snapToGrid/>
              <w:spacing w:before="0" w:beforeAutospacing="0" w:after="150" w:afterLines="50" w:afterAutospacing="0" w:line="240" w:lineRule="auto"/>
              <w:ind w:left="0" w:right="0"/>
              <w:textAlignment w:val="auto"/>
            </w:pPr>
            <w:r>
              <w:rPr>
                <w:rFonts w:hint="default" w:ascii="Arial" w:hAnsi="Arial" w:cs="Arial"/>
                <w:sz w:val="24"/>
                <w:szCs w:val="24"/>
                <w:vertAlign w:val="baseline"/>
              </w:rPr>
              <w:t xml:space="preserve">Na forma do que dispõe o Artigo 7º Parágrafo 2º e incisos I, II e III da Lei nº 8.666/93. </w:t>
            </w:r>
            <w:r>
              <w:rPr>
                <w:sz w:val="24"/>
                <w:szCs w:val="24"/>
              </w:rPr>
              <w:t>Aprovam o presente Termo de Referência.</w:t>
            </w:r>
          </w:p>
          <w:p>
            <w:pPr>
              <w:pStyle w:val="2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7"/>
                <w:szCs w:val="27"/>
              </w:rPr>
            </w:pPr>
            <w:r>
              <w:rPr>
                <w:rFonts w:hint="default" w:ascii="Arial" w:hAnsi="Arial" w:cs="Arial"/>
                <w:b/>
                <w:bCs/>
                <w:sz w:val="24"/>
                <w:szCs w:val="24"/>
                <w:vertAlign w:val="baseline"/>
              </w:rPr>
              <w:t>Rodineia Pereira Gouvea</w:t>
            </w:r>
          </w:p>
          <w:p>
            <w:pPr>
              <w:pStyle w:val="2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7"/>
                <w:szCs w:val="27"/>
              </w:rPr>
            </w:pPr>
            <w:r>
              <w:rPr>
                <w:rFonts w:hint="default" w:ascii="Arial" w:hAnsi="Arial" w:cs="Arial"/>
                <w:sz w:val="24"/>
                <w:szCs w:val="24"/>
                <w:vertAlign w:val="baseline"/>
              </w:rPr>
              <w:t>Secretária de Desenvolvimento Social</w:t>
            </w:r>
          </w:p>
          <w:p>
            <w:pPr>
              <w:pStyle w:val="2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jc w:val="center"/>
              <w:textAlignment w:val="auto"/>
              <w:rPr>
                <w:sz w:val="27"/>
                <w:szCs w:val="27"/>
              </w:rPr>
            </w:pPr>
            <w:r>
              <w:rPr>
                <w:rFonts w:hint="default" w:ascii="Arial" w:hAnsi="Arial" w:cs="Arial"/>
                <w:sz w:val="24"/>
                <w:szCs w:val="24"/>
                <w:vertAlign w:val="baseline"/>
              </w:rPr>
              <w:t>Decreto n.º 17.736/2021 de 15.07.2021</w:t>
            </w:r>
          </w:p>
        </w:tc>
      </w:tr>
    </w:tbl>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24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jc w:val="center"/>
        <w:rPr>
          <w:rFonts w:hint="default"/>
          <w:lang w:val="pt-BR"/>
        </w:rPr>
      </w:pPr>
      <w:r>
        <w:rPr>
          <w:rFonts w:hint="default" w:ascii="Arial" w:hAnsi="Arial" w:cs="Arial"/>
          <w:i w:val="0"/>
          <w:iCs w:val="0"/>
          <w:caps w:val="0"/>
          <w:color w:val="000000"/>
          <w:spacing w:val="0"/>
          <w:sz w:val="24"/>
          <w:szCs w:val="24"/>
          <w:shd w:val="clear" w:fill="FFFFFF"/>
          <w:vertAlign w:val="baseline"/>
        </w:rPr>
        <w:t>ANEXO I</w:t>
      </w:r>
      <w:r>
        <w:rPr>
          <w:rFonts w:hint="default" w:ascii="Arial" w:hAnsi="Arial" w:cs="Arial"/>
          <w:i w:val="0"/>
          <w:iCs w:val="0"/>
          <w:caps w:val="0"/>
          <w:color w:val="000000"/>
          <w:spacing w:val="0"/>
          <w:sz w:val="24"/>
          <w:szCs w:val="24"/>
          <w:shd w:val="clear" w:fill="FFFFFF"/>
          <w:vertAlign w:val="baseline"/>
          <w:lang w:val="pt-BR"/>
        </w:rPr>
        <w:t xml:space="preserve">  - DO TERMO DE REFERÊNCIA</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rPr>
          <w:rFonts w:hint="default" w:ascii="Arial" w:hAnsi="Arial" w:cs="Arial"/>
          <w:b/>
          <w:bCs/>
          <w:i w:val="0"/>
          <w:iCs w:val="0"/>
          <w:caps w:val="0"/>
          <w:color w:val="000000"/>
          <w:spacing w:val="0"/>
          <w:sz w:val="24"/>
          <w:szCs w:val="24"/>
          <w:shd w:val="clear" w:fill="FFFFFF"/>
          <w:vertAlign w:val="baseline"/>
        </w:rPr>
      </w:pP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center"/>
      </w:pPr>
      <w:r>
        <w:rPr>
          <w:rFonts w:hint="default" w:ascii="Arial" w:hAnsi="Arial" w:cs="Arial"/>
          <w:b/>
          <w:bCs/>
          <w:i w:val="0"/>
          <w:iCs w:val="0"/>
          <w:caps w:val="0"/>
          <w:color w:val="000000"/>
          <w:spacing w:val="0"/>
          <w:sz w:val="24"/>
          <w:szCs w:val="24"/>
          <w:shd w:val="clear" w:fill="FFFFFF"/>
          <w:vertAlign w:val="baseline"/>
        </w:rPr>
        <w:t>MODELO DE DECLARAÇÃO DE VISTORIA DECLARAÇÃO DE VISTORIA</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b/>
          <w:bCs/>
          <w:i w:val="0"/>
          <w:iCs w:val="0"/>
          <w:caps w:val="0"/>
          <w:color w:val="000000"/>
          <w:spacing w:val="0"/>
          <w:sz w:val="24"/>
          <w:szCs w:val="24"/>
          <w:shd w:val="clear" w:fill="FFFFFF"/>
          <w:vertAlign w:val="baseline"/>
        </w:rPr>
        <w:t> </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Declaramos,  para  ?ns  de  participação  no  Pregão  nº  xxx/2021,  que  a  empresa  ,   inscrita   no   CNPJ   sob   o   nº  , sediada na  , representada pelo</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Sr(a).  , portador da  Carteira  de Identidade nº  /SSP- , vistoriou os veículos para os quais serão prestados os serviços de SEGURO NA MODALIDADE TOTAL, e constatamos que os mesmos atendem as condições estabelecidas no Termo de Referência.</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right"/>
      </w:pPr>
      <w:r>
        <w:rPr>
          <w:rFonts w:hint="default" w:ascii="Arial" w:hAnsi="Arial" w:cs="Arial"/>
          <w:i w:val="0"/>
          <w:iCs w:val="0"/>
          <w:caps w:val="0"/>
          <w:color w:val="000000"/>
          <w:spacing w:val="0"/>
          <w:sz w:val="24"/>
          <w:szCs w:val="24"/>
          <w:shd w:val="clear" w:fill="FFFFFF"/>
          <w:vertAlign w:val="baseline"/>
        </w:rPr>
        <w:t>        Ariquemes/RO, _____ de____________ de 2021.</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both"/>
      </w:pPr>
      <w:r>
        <w:rPr>
          <w:rFonts w:hint="default" w:ascii="Arial" w:hAnsi="Arial" w:cs="Arial"/>
          <w:i w:val="0"/>
          <w:iCs w:val="0"/>
          <w:caps w:val="0"/>
          <w:color w:val="000000"/>
          <w:spacing w:val="0"/>
          <w:sz w:val="24"/>
          <w:szCs w:val="24"/>
          <w:shd w:val="clear" w:fill="FFFFFF"/>
          <w:vertAlign w:val="baseline"/>
        </w:rPr>
        <w:t> </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center"/>
      </w:pPr>
      <w:r>
        <w:rPr>
          <w:rFonts w:hint="default" w:ascii="Arial" w:hAnsi="Arial" w:cs="Arial"/>
          <w:i w:val="0"/>
          <w:iCs w:val="0"/>
          <w:caps w:val="0"/>
          <w:color w:val="000000"/>
          <w:spacing w:val="0"/>
          <w:sz w:val="24"/>
          <w:szCs w:val="24"/>
          <w:shd w:val="clear" w:fill="FFFFFF"/>
          <w:vertAlign w:val="baseline"/>
        </w:rPr>
        <w:t>________________________________</w:t>
      </w:r>
    </w:p>
    <w:p>
      <w:pPr>
        <w:pStyle w:val="29"/>
        <w:keepNext w:val="0"/>
        <w:keepLines w:val="0"/>
        <w:widowControl/>
        <w:suppressLineNumbers w:val="0"/>
        <w:pBdr>
          <w:top w:val="none" w:color="auto" w:sz="0" w:space="0"/>
          <w:left w:val="none" w:color="auto" w:sz="0" w:space="0"/>
          <w:bottom w:val="none" w:color="auto" w:sz="0" w:space="0"/>
          <w:right w:val="none" w:color="auto" w:sz="0" w:space="0"/>
        </w:pBdr>
        <w:bidi w:val="0"/>
        <w:spacing w:before="0" w:beforeAutospacing="0" w:after="0" w:afterAutospacing="0" w:line="15" w:lineRule="atLeast"/>
        <w:ind w:left="0" w:right="0"/>
        <w:jc w:val="center"/>
      </w:pPr>
      <w:r>
        <w:rPr>
          <w:rFonts w:hint="default" w:ascii="Arial" w:hAnsi="Arial" w:cs="Arial"/>
          <w:i w:val="0"/>
          <w:iCs w:val="0"/>
          <w:caps w:val="0"/>
          <w:color w:val="000000"/>
          <w:spacing w:val="0"/>
          <w:sz w:val="24"/>
          <w:szCs w:val="24"/>
          <w:shd w:val="clear" w:fill="FFFFFF"/>
          <w:vertAlign w:val="baseline"/>
        </w:rPr>
        <w:t>SERVIDOR DA SEMDES</w:t>
      </w:r>
    </w:p>
    <w:p>
      <w:pPr>
        <w:pStyle w:val="29"/>
        <w:keepNext w:val="0"/>
        <w:keepLines w:val="0"/>
        <w:widowControl/>
        <w:suppressLineNumbers w:val="0"/>
        <w:bidi w:val="0"/>
        <w:spacing w:before="0" w:beforeAutospacing="0" w:after="240" w:afterAutospacing="0" w:line="15" w:lineRule="atLeast"/>
        <w:ind w:left="0" w:right="0"/>
        <w:jc w:val="both"/>
      </w:pPr>
      <w:r>
        <w:rPr>
          <w:rFonts w:hint="default" w:ascii="Arial" w:hAnsi="Arial" w:cs="Arial"/>
          <w:i w:val="0"/>
          <w:iCs w:val="0"/>
          <w:caps w:val="0"/>
          <w:color w:val="000000"/>
          <w:spacing w:val="0"/>
          <w:sz w:val="24"/>
          <w:szCs w:val="24"/>
          <w:shd w:val="clear" w:fill="FFFFFF"/>
        </w:rPr>
        <w:t> </w:t>
      </w:r>
      <w:r>
        <w:rPr>
          <w:rFonts w:hint="default" w:ascii="Arial" w:hAnsi="Arial" w:cs="Arial"/>
          <w:i w:val="0"/>
          <w:iCs w:val="0"/>
          <w:caps w:val="0"/>
          <w:color w:val="000000"/>
          <w:spacing w:val="0"/>
          <w:sz w:val="24"/>
          <w:szCs w:val="24"/>
        </w:rPr>
        <w:pict>
          <v:rect id="_x0000_i1025" o:spt="1" style="height:1.5pt;width:432pt;" fillcolor="#A0A0A0" filled="t" stroked="f" coordsize="21600,21600" o:hr="t" o:hrstd="t" o:hralign="center">
            <v:path/>
            <v:fill on="t" focussize="0,0"/>
            <v:stroke on="f"/>
            <v:imagedata o:title=""/>
            <o:lock v:ext="edit"/>
            <w10:wrap type="none"/>
            <w10:anchorlock/>
          </v:rect>
        </w:pict>
      </w:r>
    </w:p>
    <w:p>
      <w:pPr>
        <w:keepNext w:val="0"/>
        <w:keepLines w:val="0"/>
        <w:widowControl/>
        <w:suppressLineNumbers w:val="0"/>
        <w:spacing w:before="0" w:beforeAutospacing="0" w:after="60" w:afterAutospacing="0"/>
        <w:ind w:left="0" w:right="0"/>
      </w:pPr>
      <w:r>
        <w:rPr>
          <w:rFonts w:hint="default" w:ascii="Arial" w:hAnsi="Arial" w:cs="Arial"/>
          <w:i w:val="0"/>
          <w:iCs w:val="0"/>
          <w:caps w:val="0"/>
          <w:color w:val="000000"/>
          <w:spacing w:val="0"/>
          <w:sz w:val="24"/>
          <w:szCs w:val="24"/>
        </w:rPr>
        <w:pict>
          <v:rect id="_x0000_i1026" o:spt="1" style="height:1.5pt;width:432pt;" fillcolor="#A0A0A0" filled="t" stroked="f" coordsize="21600,21600" o:hr="t" o:hrstd="t" o:hralign="center">
            <v:path/>
            <v:fill on="t" focussize="0,0"/>
            <v:stroke on="f"/>
            <v:imagedata o:title=""/>
            <o:lock v:ext="edit"/>
            <w10:wrap type="none"/>
            <w10:anchorlock/>
          </v:rect>
        </w:pict>
      </w:r>
    </w:p>
    <w:tbl>
      <w:tblPr>
        <w:tblStyle w:val="1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650"/>
        <w:gridCol w:w="83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shd w:val="clear" w:color="auto" w:fill="auto"/>
            <w:vAlign w:val="center"/>
          </w:tcPr>
          <w:p>
            <w:pPr>
              <w:keepNext w:val="0"/>
              <w:keepLines w:val="0"/>
              <w:widowControl/>
              <w:suppressLineNumbers w:val="0"/>
              <w:jc w:val="left"/>
            </w:pPr>
            <w:r>
              <w:rPr>
                <w:rFonts w:ascii="SimSun" w:hAnsi="SimSun" w:eastAsia="SimSun" w:cs="SimSun"/>
                <w:kern w:val="0"/>
                <w:sz w:val="24"/>
                <w:szCs w:val="24"/>
                <w:lang w:val="en-US" w:eastAsia="zh-CN" w:bidi="ar"/>
              </w:rPr>
              <w:drawing>
                <wp:inline distT="0" distB="0" distL="114300" distR="114300">
                  <wp:extent cx="1019175" cy="419100"/>
                  <wp:effectExtent l="0" t="0" r="9525" b="0"/>
                  <wp:docPr id="8" name="Imagem 8" descr="[319291665A681629C8303004924427E0-8C8BBEE53B6589396DCA613025D06686E24A5854404DD2E4C3292AEC4EDB4E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319291665A681629C8303004924427E0-8C8BBEE53B6589396DCA613025D06686E24A5854404DD2E4C3292AEC4EDB4E46]"/>
                          <pic:cNvPicPr>
                            <a:picLocks noChangeAspect="1"/>
                          </pic:cNvPicPr>
                        </pic:nvPicPr>
                        <pic:blipFill>
                          <a:blip r:embed="rId7"/>
                          <a:stretch>
                            <a:fillRect/>
                          </a:stretch>
                        </pic:blipFill>
                        <pic:spPr>
                          <a:xfrm>
                            <a:off x="0" y="0"/>
                            <a:ext cx="1019175" cy="419100"/>
                          </a:xfrm>
                          <a:prstGeom prst="rect">
                            <a:avLst/>
                          </a:prstGeom>
                          <a:noFill/>
                          <a:ln w="9525">
                            <a:noFill/>
                          </a:ln>
                        </pic:spPr>
                      </pic:pic>
                    </a:graphicData>
                  </a:graphic>
                </wp:inline>
              </w:drawing>
            </w:r>
          </w:p>
        </w:tc>
        <w:tc>
          <w:tcPr>
            <w:tcW w:w="0" w:type="auto"/>
            <w:shd w:val="clear" w:color="auto" w:fill="auto"/>
            <w:vAlign w:val="center"/>
          </w:tcPr>
          <w:p>
            <w:pPr>
              <w:pStyle w:val="29"/>
              <w:keepNext w:val="0"/>
              <w:keepLines w:val="0"/>
              <w:widowControl/>
              <w:suppressLineNumbers w:val="0"/>
              <w:spacing w:before="0" w:beforeAutospacing="0" w:after="0" w:afterAutospacing="0"/>
              <w:ind w:left="0" w:right="0"/>
              <w:jc w:val="both"/>
              <w:rPr>
                <w:rFonts w:hint="default" w:ascii="Arial" w:hAnsi="Arial" w:cs="Arial"/>
                <w:sz w:val="20"/>
                <w:szCs w:val="20"/>
              </w:rPr>
            </w:pPr>
            <w:r>
              <w:rPr>
                <w:rFonts w:hint="default" w:ascii="Arial" w:hAnsi="Arial" w:cs="Arial"/>
                <w:sz w:val="20"/>
                <w:szCs w:val="20"/>
              </w:rPr>
              <w:t>Documento assinado eletronicamente por </w:t>
            </w:r>
            <w:r>
              <w:rPr>
                <w:rFonts w:hint="default" w:ascii="Arial" w:hAnsi="Arial" w:cs="Arial"/>
                <w:b/>
                <w:bCs/>
                <w:sz w:val="20"/>
                <w:szCs w:val="20"/>
              </w:rPr>
              <w:t>ROSELI SILVA SANTOS</w:t>
            </w:r>
            <w:r>
              <w:rPr>
                <w:rFonts w:hint="default" w:ascii="Arial" w:hAnsi="Arial" w:cs="Arial"/>
                <w:sz w:val="20"/>
                <w:szCs w:val="20"/>
              </w:rPr>
              <w:t>, </w:t>
            </w:r>
            <w:r>
              <w:rPr>
                <w:rFonts w:hint="default" w:ascii="Arial" w:hAnsi="Arial" w:cs="Arial"/>
                <w:b/>
                <w:bCs/>
                <w:sz w:val="20"/>
                <w:szCs w:val="20"/>
              </w:rPr>
              <w:t>AGENTE DE SERVIÇO</w:t>
            </w:r>
            <w:r>
              <w:rPr>
                <w:rFonts w:hint="default" w:ascii="Arial" w:hAnsi="Arial" w:cs="Arial"/>
                <w:sz w:val="20"/>
                <w:szCs w:val="20"/>
              </w:rPr>
              <w:t>, em 06/12/2021 às 11:57, horário de Ariquemes/RO, com fulcro no art. 18 do </w:t>
            </w:r>
            <w:r>
              <w:rPr>
                <w:rFonts w:hint="default" w:ascii="Arial" w:hAnsi="Arial" w:cs="Arial"/>
                <w:sz w:val="20"/>
                <w:szCs w:val="20"/>
              </w:rPr>
              <w:fldChar w:fldCharType="begin"/>
            </w:r>
            <w:r>
              <w:rPr>
                <w:rFonts w:hint="default" w:ascii="Arial" w:hAnsi="Arial" w:cs="Arial"/>
                <w:sz w:val="20"/>
                <w:szCs w:val="20"/>
              </w:rPr>
              <w:instrText xml:space="preserve"> HYPERLINK "http://transparencia.ariquemes.ro.gov.br/transparencia/aplicacoes/publicacao/download.php?id_doc=022182" \o "Consulte o Decreto" \t "http://eproc.ariquemes.ro.gov.br:5658/eproc/_blank" </w:instrText>
            </w:r>
            <w:r>
              <w:rPr>
                <w:rFonts w:hint="default" w:ascii="Arial" w:hAnsi="Arial" w:cs="Arial"/>
                <w:sz w:val="20"/>
                <w:szCs w:val="20"/>
              </w:rPr>
              <w:fldChar w:fldCharType="separate"/>
            </w:r>
            <w:r>
              <w:rPr>
                <w:rStyle w:val="19"/>
                <w:rFonts w:hint="default" w:ascii="Arial" w:hAnsi="Arial" w:cs="Arial"/>
                <w:sz w:val="20"/>
                <w:szCs w:val="20"/>
              </w:rPr>
              <w:t>Decreto nº 16.426 de 16/04/2020.</w:t>
            </w:r>
            <w:r>
              <w:rPr>
                <w:rFonts w:hint="default" w:ascii="Arial" w:hAnsi="Arial" w:cs="Arial"/>
                <w:sz w:val="20"/>
                <w:szCs w:val="20"/>
              </w:rPr>
              <w:fldChar w:fldCharType="end"/>
            </w:r>
          </w:p>
        </w:tc>
      </w:tr>
    </w:tbl>
    <w:p>
      <w:pPr>
        <w:rPr>
          <w:vanish/>
          <w:sz w:val="24"/>
          <w:szCs w:val="24"/>
        </w:rPr>
      </w:pPr>
    </w:p>
    <w:tbl>
      <w:tblPr>
        <w:tblStyle w:val="1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650"/>
        <w:gridCol w:w="83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shd w:val="clear" w:color="auto" w:fill="auto"/>
            <w:vAlign w:val="center"/>
          </w:tcPr>
          <w:p>
            <w:pPr>
              <w:keepNext w:val="0"/>
              <w:keepLines w:val="0"/>
              <w:widowControl/>
              <w:suppressLineNumbers w:val="0"/>
              <w:jc w:val="left"/>
            </w:pPr>
            <w:r>
              <w:rPr>
                <w:rFonts w:ascii="SimSun" w:hAnsi="SimSun" w:eastAsia="SimSun" w:cs="SimSun"/>
                <w:kern w:val="0"/>
                <w:sz w:val="24"/>
                <w:szCs w:val="24"/>
                <w:lang w:val="en-US" w:eastAsia="zh-CN" w:bidi="ar"/>
              </w:rPr>
              <w:drawing>
                <wp:inline distT="0" distB="0" distL="114300" distR="114300">
                  <wp:extent cx="1019175" cy="419100"/>
                  <wp:effectExtent l="0" t="0" r="9525" b="0"/>
                  <wp:docPr id="1" name="Imagem 9" descr="[5190080904F545AE033FA1B719CBE98D-339A29908F7B9AF4FFD687A7EEDE6E786E85442D59765A55E683ABF4A0E89AD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9" descr="[5190080904F545AE033FA1B719CBE98D-339A29908F7B9AF4FFD687A7EEDE6E786E85442D59765A55E683ABF4A0E89AD9]"/>
                          <pic:cNvPicPr>
                            <a:picLocks noChangeAspect="1"/>
                          </pic:cNvPicPr>
                        </pic:nvPicPr>
                        <pic:blipFill>
                          <a:blip r:embed="rId8"/>
                          <a:stretch>
                            <a:fillRect/>
                          </a:stretch>
                        </pic:blipFill>
                        <pic:spPr>
                          <a:xfrm>
                            <a:off x="0" y="0"/>
                            <a:ext cx="1019175" cy="419100"/>
                          </a:xfrm>
                          <a:prstGeom prst="rect">
                            <a:avLst/>
                          </a:prstGeom>
                          <a:noFill/>
                          <a:ln w="9525">
                            <a:noFill/>
                          </a:ln>
                        </pic:spPr>
                      </pic:pic>
                    </a:graphicData>
                  </a:graphic>
                </wp:inline>
              </w:drawing>
            </w:r>
          </w:p>
        </w:tc>
        <w:tc>
          <w:tcPr>
            <w:tcW w:w="0" w:type="auto"/>
            <w:shd w:val="clear" w:color="auto" w:fill="auto"/>
            <w:vAlign w:val="center"/>
          </w:tcPr>
          <w:p>
            <w:pPr>
              <w:pStyle w:val="29"/>
              <w:keepNext w:val="0"/>
              <w:keepLines w:val="0"/>
              <w:widowControl/>
              <w:suppressLineNumbers w:val="0"/>
              <w:spacing w:before="0" w:beforeAutospacing="0" w:after="0" w:afterAutospacing="0"/>
              <w:ind w:left="0" w:right="0"/>
              <w:jc w:val="both"/>
              <w:rPr>
                <w:rFonts w:hint="default" w:ascii="Arial" w:hAnsi="Arial" w:cs="Arial"/>
                <w:sz w:val="20"/>
                <w:szCs w:val="20"/>
              </w:rPr>
            </w:pPr>
            <w:r>
              <w:rPr>
                <w:rFonts w:hint="default" w:ascii="Arial" w:hAnsi="Arial" w:cs="Arial"/>
                <w:sz w:val="20"/>
                <w:szCs w:val="20"/>
              </w:rPr>
              <w:t>Documento assinado eletronicamente (ICP-BR) por </w:t>
            </w:r>
            <w:r>
              <w:rPr>
                <w:rFonts w:hint="default" w:ascii="Arial" w:hAnsi="Arial" w:cs="Arial"/>
                <w:b/>
                <w:bCs/>
                <w:sz w:val="20"/>
                <w:szCs w:val="20"/>
              </w:rPr>
              <w:t>RODINEIA PEREIRA GOUVEA</w:t>
            </w:r>
            <w:r>
              <w:rPr>
                <w:rFonts w:hint="default" w:ascii="Arial" w:hAnsi="Arial" w:cs="Arial"/>
                <w:sz w:val="20"/>
                <w:szCs w:val="20"/>
              </w:rPr>
              <w:t>, </w:t>
            </w:r>
            <w:r>
              <w:rPr>
                <w:rFonts w:hint="default" w:ascii="Arial" w:hAnsi="Arial" w:cs="Arial"/>
                <w:b/>
                <w:bCs/>
                <w:sz w:val="20"/>
                <w:szCs w:val="20"/>
              </w:rPr>
              <w:t>Secretária de Desenvolvimento Social</w:t>
            </w:r>
            <w:r>
              <w:rPr>
                <w:rFonts w:hint="default" w:ascii="Arial" w:hAnsi="Arial" w:cs="Arial"/>
                <w:sz w:val="20"/>
                <w:szCs w:val="20"/>
              </w:rPr>
              <w:t>, em 06/12/2021 às 12:03, horário de Ariquemes/RO, com fulcro no art. 18 do </w:t>
            </w:r>
            <w:r>
              <w:rPr>
                <w:rFonts w:hint="default" w:ascii="Arial" w:hAnsi="Arial" w:cs="Arial"/>
                <w:sz w:val="20"/>
                <w:szCs w:val="20"/>
              </w:rPr>
              <w:fldChar w:fldCharType="begin"/>
            </w:r>
            <w:r>
              <w:rPr>
                <w:rFonts w:hint="default" w:ascii="Arial" w:hAnsi="Arial" w:cs="Arial"/>
                <w:sz w:val="20"/>
                <w:szCs w:val="20"/>
              </w:rPr>
              <w:instrText xml:space="preserve"> HYPERLINK "http://transparencia.ariquemes.ro.gov.br/transparencia/aplicacoes/publicacao/download.php?id_doc=022182" \o "Consulte o Decreto" \t "http://eproc.ariquemes.ro.gov.br:5658/eproc/_blank" </w:instrText>
            </w:r>
            <w:r>
              <w:rPr>
                <w:rFonts w:hint="default" w:ascii="Arial" w:hAnsi="Arial" w:cs="Arial"/>
                <w:sz w:val="20"/>
                <w:szCs w:val="20"/>
              </w:rPr>
              <w:fldChar w:fldCharType="separate"/>
            </w:r>
            <w:r>
              <w:rPr>
                <w:rStyle w:val="19"/>
                <w:rFonts w:hint="default" w:ascii="Arial" w:hAnsi="Arial" w:cs="Arial"/>
                <w:sz w:val="20"/>
                <w:szCs w:val="20"/>
              </w:rPr>
              <w:t>Decreto nº 16.426 de 16/04/2020.</w:t>
            </w:r>
            <w:r>
              <w:rPr>
                <w:rFonts w:hint="default" w:ascii="Arial" w:hAnsi="Arial" w:cs="Arial"/>
                <w:sz w:val="20"/>
                <w:szCs w:val="20"/>
              </w:rPr>
              <w:fldChar w:fldCharType="end"/>
            </w:r>
          </w:p>
        </w:tc>
      </w:tr>
    </w:tbl>
    <w:p>
      <w:pPr>
        <w:rPr>
          <w:vanish/>
          <w:sz w:val="24"/>
          <w:szCs w:val="24"/>
        </w:rPr>
      </w:pPr>
    </w:p>
    <w:tbl>
      <w:tblPr>
        <w:tblStyle w:val="1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650"/>
        <w:gridCol w:w="83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shd w:val="clear" w:color="auto" w:fill="auto"/>
            <w:vAlign w:val="center"/>
          </w:tcPr>
          <w:p>
            <w:pPr>
              <w:keepNext w:val="0"/>
              <w:keepLines w:val="0"/>
              <w:widowControl/>
              <w:suppressLineNumbers w:val="0"/>
              <w:jc w:val="left"/>
            </w:pPr>
            <w:r>
              <w:rPr>
                <w:rFonts w:ascii="SimSun" w:hAnsi="SimSun" w:eastAsia="SimSun" w:cs="SimSun"/>
                <w:kern w:val="0"/>
                <w:sz w:val="24"/>
                <w:szCs w:val="24"/>
                <w:lang w:val="en-US" w:eastAsia="zh-CN" w:bidi="ar"/>
              </w:rPr>
              <w:drawing>
                <wp:inline distT="0" distB="0" distL="114300" distR="114300">
                  <wp:extent cx="1019175" cy="419100"/>
                  <wp:effectExtent l="0" t="0" r="9525" b="0"/>
                  <wp:docPr id="3" name="Imagem 10" descr="[9F88AF71A9E6FB6DD453E720ABA45DC0-2D9F764ADA7F92421EED582ABE4553D0C273B07451420B2326C5DDCFB56874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10" descr="[9F88AF71A9E6FB6DD453E720ABA45DC0-2D9F764ADA7F92421EED582ABE4553D0C273B07451420B2326C5DDCFB56874AE]"/>
                          <pic:cNvPicPr>
                            <a:picLocks noChangeAspect="1"/>
                          </pic:cNvPicPr>
                        </pic:nvPicPr>
                        <pic:blipFill>
                          <a:blip r:embed="rId7"/>
                          <a:stretch>
                            <a:fillRect/>
                          </a:stretch>
                        </pic:blipFill>
                        <pic:spPr>
                          <a:xfrm>
                            <a:off x="0" y="0"/>
                            <a:ext cx="1019175" cy="419100"/>
                          </a:xfrm>
                          <a:prstGeom prst="rect">
                            <a:avLst/>
                          </a:prstGeom>
                          <a:noFill/>
                          <a:ln w="9525">
                            <a:noFill/>
                          </a:ln>
                        </pic:spPr>
                      </pic:pic>
                    </a:graphicData>
                  </a:graphic>
                </wp:inline>
              </w:drawing>
            </w:r>
          </w:p>
        </w:tc>
        <w:tc>
          <w:tcPr>
            <w:tcW w:w="0" w:type="auto"/>
            <w:shd w:val="clear" w:color="auto" w:fill="auto"/>
            <w:vAlign w:val="center"/>
          </w:tcPr>
          <w:p>
            <w:pPr>
              <w:pStyle w:val="29"/>
              <w:keepNext w:val="0"/>
              <w:keepLines w:val="0"/>
              <w:widowControl/>
              <w:suppressLineNumbers w:val="0"/>
              <w:spacing w:before="0" w:beforeAutospacing="0" w:after="0" w:afterAutospacing="0"/>
              <w:ind w:left="0" w:right="0"/>
              <w:jc w:val="both"/>
              <w:rPr>
                <w:rFonts w:hint="default" w:ascii="Arial" w:hAnsi="Arial" w:cs="Arial"/>
                <w:sz w:val="20"/>
                <w:szCs w:val="20"/>
              </w:rPr>
            </w:pPr>
            <w:r>
              <w:rPr>
                <w:rFonts w:hint="default" w:ascii="Arial" w:hAnsi="Arial" w:cs="Arial"/>
                <w:sz w:val="20"/>
                <w:szCs w:val="20"/>
              </w:rPr>
              <w:t>Documento assinado eletronicamente por </w:t>
            </w:r>
            <w:r>
              <w:rPr>
                <w:rFonts w:hint="default" w:ascii="Arial" w:hAnsi="Arial" w:cs="Arial"/>
                <w:b/>
                <w:bCs/>
                <w:sz w:val="20"/>
                <w:szCs w:val="20"/>
              </w:rPr>
              <w:t>VICENTE FERREIRA DO NASCIMENTO NETO</w:t>
            </w:r>
            <w:r>
              <w:rPr>
                <w:rFonts w:hint="default" w:ascii="Arial" w:hAnsi="Arial" w:cs="Arial"/>
                <w:sz w:val="20"/>
                <w:szCs w:val="20"/>
              </w:rPr>
              <w:t>, </w:t>
            </w:r>
            <w:r>
              <w:rPr>
                <w:rFonts w:hint="default" w:ascii="Arial" w:hAnsi="Arial" w:cs="Arial"/>
                <w:b/>
                <w:bCs/>
                <w:sz w:val="20"/>
                <w:szCs w:val="20"/>
              </w:rPr>
              <w:t>GERENTE - Comissão de Gerenciamento de Compras</w:t>
            </w:r>
            <w:r>
              <w:rPr>
                <w:rFonts w:hint="default" w:ascii="Arial" w:hAnsi="Arial" w:cs="Arial"/>
                <w:sz w:val="20"/>
                <w:szCs w:val="20"/>
              </w:rPr>
              <w:t>, em 06/12/2021 às 12:22, horário de Ariquemes/RO, com fulcro no art. 18 do </w:t>
            </w:r>
            <w:r>
              <w:rPr>
                <w:rFonts w:hint="default" w:ascii="Arial" w:hAnsi="Arial" w:cs="Arial"/>
                <w:sz w:val="20"/>
                <w:szCs w:val="20"/>
              </w:rPr>
              <w:fldChar w:fldCharType="begin"/>
            </w:r>
            <w:r>
              <w:rPr>
                <w:rFonts w:hint="default" w:ascii="Arial" w:hAnsi="Arial" w:cs="Arial"/>
                <w:sz w:val="20"/>
                <w:szCs w:val="20"/>
              </w:rPr>
              <w:instrText xml:space="preserve"> HYPERLINK "http://transparencia.ariquemes.ro.gov.br/transparencia/aplicacoes/publicacao/download.php?id_doc=022182" \o "Consulte o Decreto" \t "http://eproc.ariquemes.ro.gov.br:5658/eproc/_blank" </w:instrText>
            </w:r>
            <w:r>
              <w:rPr>
                <w:rFonts w:hint="default" w:ascii="Arial" w:hAnsi="Arial" w:cs="Arial"/>
                <w:sz w:val="20"/>
                <w:szCs w:val="20"/>
              </w:rPr>
              <w:fldChar w:fldCharType="separate"/>
            </w:r>
            <w:r>
              <w:rPr>
                <w:rStyle w:val="19"/>
                <w:rFonts w:hint="default" w:ascii="Arial" w:hAnsi="Arial" w:cs="Arial"/>
                <w:sz w:val="20"/>
                <w:szCs w:val="20"/>
              </w:rPr>
              <w:t>Decreto nº 16.426 de 16/04/2020.</w:t>
            </w:r>
            <w:r>
              <w:rPr>
                <w:rFonts w:hint="default" w:ascii="Arial" w:hAnsi="Arial" w:cs="Arial"/>
                <w:sz w:val="20"/>
                <w:szCs w:val="20"/>
              </w:rPr>
              <w:fldChar w:fldCharType="end"/>
            </w:r>
          </w:p>
        </w:tc>
      </w:tr>
    </w:tbl>
    <w:p>
      <w:pPr>
        <w:keepNext w:val="0"/>
        <w:keepLines w:val="0"/>
        <w:widowControl/>
        <w:suppressLineNumbers w:val="0"/>
        <w:spacing w:before="0" w:beforeAutospacing="0" w:after="60" w:afterAutospacing="0"/>
        <w:ind w:left="0" w:right="0"/>
      </w:pPr>
      <w:r>
        <w:rPr>
          <w:sz w:val="24"/>
          <w:szCs w:val="24"/>
        </w:rPr>
        <w:pict>
          <v:rect id="_x0000_i1027" o:spt="1" style="height:1.5pt;width:432pt;" fillcolor="#A0A0A0" filled="t" stroked="f" coordsize="21600,21600" o:hr="t" o:hrstd="t" o:hralign="center">
            <v:path/>
            <v:fill on="t" focussize="0,0"/>
            <v:stroke on="f"/>
            <v:imagedata o:title=""/>
            <o:lock v:ext="edit"/>
            <w10:wrap type="none"/>
            <w10:anchorlock/>
          </v:rect>
        </w:pict>
      </w:r>
    </w:p>
    <w:tbl>
      <w:tblPr>
        <w:tblStyle w:val="1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780"/>
        <w:gridCol w:w="92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c>
          <w:tcPr>
            <w:tcW w:w="0" w:type="auto"/>
            <w:shd w:val="clear" w:color="auto" w:fill="auto"/>
            <w:vAlign w:val="center"/>
          </w:tcPr>
          <w:p>
            <w:pPr>
              <w:keepNext w:val="0"/>
              <w:keepLines w:val="0"/>
              <w:widowControl/>
              <w:suppressLineNumbers w:val="0"/>
              <w:jc w:val="left"/>
            </w:pPr>
            <w:r>
              <w:rPr>
                <w:rFonts w:ascii="SimSun" w:hAnsi="SimSun" w:eastAsia="SimSun" w:cs="SimSun"/>
                <w:kern w:val="0"/>
                <w:sz w:val="24"/>
                <w:szCs w:val="24"/>
                <w:lang w:val="en-US" w:eastAsia="zh-CN" w:bidi="ar"/>
              </w:rPr>
              <w:drawing>
                <wp:inline distT="0" distB="0" distL="114300" distR="114300">
                  <wp:extent cx="466725" cy="466725"/>
                  <wp:effectExtent l="0" t="0" r="9525" b="9525"/>
                  <wp:docPr id="9" name="Imagem 12" descr="QRC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m 12" descr="QRCode"/>
                          <pic:cNvPicPr>
                            <a:picLocks noChangeAspect="1"/>
                          </pic:cNvPicPr>
                        </pic:nvPicPr>
                        <pic:blipFill>
                          <a:blip r:embed="rId9"/>
                          <a:stretch>
                            <a:fillRect/>
                          </a:stretch>
                        </pic:blipFill>
                        <pic:spPr>
                          <a:xfrm>
                            <a:off x="0" y="0"/>
                            <a:ext cx="466725" cy="466725"/>
                          </a:xfrm>
                          <a:prstGeom prst="rect">
                            <a:avLst/>
                          </a:prstGeom>
                          <a:noFill/>
                          <a:ln w="9525">
                            <a:noFill/>
                          </a:ln>
                        </pic:spPr>
                      </pic:pic>
                    </a:graphicData>
                  </a:graphic>
                </wp:inline>
              </w:drawing>
            </w:r>
          </w:p>
        </w:tc>
        <w:tc>
          <w:tcPr>
            <w:tcW w:w="0" w:type="auto"/>
            <w:shd w:val="clear" w:color="auto" w:fill="auto"/>
            <w:vAlign w:val="center"/>
          </w:tcPr>
          <w:p>
            <w:pPr>
              <w:pStyle w:val="29"/>
              <w:keepNext w:val="0"/>
              <w:keepLines w:val="0"/>
              <w:widowControl/>
              <w:suppressLineNumbers w:val="0"/>
              <w:spacing w:before="0" w:beforeAutospacing="0" w:after="0" w:afterAutospacing="0"/>
              <w:ind w:left="0" w:right="0"/>
              <w:jc w:val="both"/>
              <w:rPr>
                <w:rFonts w:hint="default" w:ascii="Arial" w:hAnsi="Arial" w:cs="Arial"/>
                <w:sz w:val="20"/>
                <w:szCs w:val="20"/>
              </w:rPr>
            </w:pPr>
            <w:r>
              <w:rPr>
                <w:rFonts w:hint="default" w:ascii="Arial" w:hAnsi="Arial" w:cs="Arial"/>
                <w:sz w:val="20"/>
                <w:szCs w:val="20"/>
              </w:rPr>
              <w:t>A autenticidade deste documento pode ser conferida no site </w:t>
            </w:r>
            <w:r>
              <w:rPr>
                <w:rFonts w:hint="default" w:ascii="Arial" w:hAnsi="Arial" w:cs="Arial"/>
                <w:sz w:val="20"/>
                <w:szCs w:val="20"/>
              </w:rPr>
              <w:fldChar w:fldCharType="begin"/>
            </w:r>
            <w:r>
              <w:rPr>
                <w:rFonts w:hint="default" w:ascii="Arial" w:hAnsi="Arial" w:cs="Arial"/>
                <w:sz w:val="20"/>
                <w:szCs w:val="20"/>
              </w:rPr>
              <w:instrText xml:space="preserve"> HYPERLINK "http://transparencia.ariquemes.ro.gov.br/transparencia/aplicacoes/protocolo/consulta_documento.php?CdDocto=640848&amp;CRC32=E7B14E29" \o "Verificação de Autenticidade" \t "http://eproc.ariquemes.ro.gov.br:5658/eproc/_blank" </w:instrText>
            </w:r>
            <w:r>
              <w:rPr>
                <w:rFonts w:hint="default" w:ascii="Arial" w:hAnsi="Arial" w:cs="Arial"/>
                <w:sz w:val="20"/>
                <w:szCs w:val="20"/>
              </w:rPr>
              <w:fldChar w:fldCharType="separate"/>
            </w:r>
            <w:r>
              <w:rPr>
                <w:rStyle w:val="19"/>
                <w:rFonts w:hint="default" w:ascii="Arial" w:hAnsi="Arial" w:cs="Arial"/>
                <w:sz w:val="20"/>
                <w:szCs w:val="20"/>
              </w:rPr>
              <w:t>transparencia.ariquemes.ro.gov.br</w:t>
            </w:r>
            <w:r>
              <w:rPr>
                <w:rFonts w:hint="default" w:ascii="Arial" w:hAnsi="Arial" w:cs="Arial"/>
                <w:sz w:val="20"/>
                <w:szCs w:val="20"/>
              </w:rPr>
              <w:fldChar w:fldCharType="end"/>
            </w:r>
            <w:r>
              <w:rPr>
                <w:rFonts w:hint="default" w:ascii="Arial" w:hAnsi="Arial" w:cs="Arial"/>
                <w:sz w:val="20"/>
                <w:szCs w:val="20"/>
              </w:rPr>
              <w:t>, informando o ID </w:t>
            </w:r>
            <w:r>
              <w:rPr>
                <w:rFonts w:hint="default" w:ascii="Arial" w:hAnsi="Arial" w:cs="Arial"/>
                <w:b/>
                <w:bCs/>
                <w:sz w:val="20"/>
                <w:szCs w:val="20"/>
              </w:rPr>
              <w:t>640848</w:t>
            </w:r>
            <w:r>
              <w:rPr>
                <w:rFonts w:hint="default" w:ascii="Arial" w:hAnsi="Arial" w:cs="Arial"/>
                <w:sz w:val="20"/>
                <w:szCs w:val="20"/>
              </w:rPr>
              <w:t> e o código verificador </w:t>
            </w:r>
            <w:r>
              <w:rPr>
                <w:rFonts w:hint="default" w:ascii="Arial" w:hAnsi="Arial" w:cs="Arial"/>
                <w:b/>
                <w:bCs/>
                <w:sz w:val="20"/>
                <w:szCs w:val="20"/>
              </w:rPr>
              <w:t>E7B14E29</w:t>
            </w:r>
            <w:r>
              <w:rPr>
                <w:rFonts w:hint="default" w:ascii="Arial" w:hAnsi="Arial" w:cs="Arial"/>
                <w:sz w:val="20"/>
                <w:szCs w:val="20"/>
              </w:rPr>
              <w:t>.</w:t>
            </w:r>
          </w:p>
        </w:tc>
      </w:tr>
    </w:tbl>
    <w:p>
      <w:pPr>
        <w:keepNext w:val="0"/>
        <w:keepLines w:val="0"/>
        <w:widowControl/>
        <w:suppressLineNumbers w:val="0"/>
        <w:spacing w:before="0" w:beforeAutospacing="0" w:after="60" w:afterAutospacing="0"/>
        <w:ind w:left="0" w:right="0"/>
      </w:pPr>
      <w:r>
        <w:rPr>
          <w:sz w:val="24"/>
          <w:szCs w:val="24"/>
        </w:rPr>
        <w:pict>
          <v:rect id="_x0000_i1028" o:spt="1" style="height:1.5pt;width:432pt;" fillcolor="#A0A0A0" filled="t" stroked="f" coordsize="21600,21600" o:hr="t" o:hrstd="t" o:hralign="center">
            <v:path/>
            <v:fill on="t" focussize="0,0"/>
            <v:stroke on="f"/>
            <v:imagedata o:title=""/>
            <o:lock v:ext="edit"/>
            <w10:wrap type="none"/>
            <w10:anchorlock/>
          </v:rect>
        </w:pict>
      </w:r>
    </w:p>
    <w:tbl>
      <w:tblPr>
        <w:tblStyle w:val="12"/>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004"/>
        <w:gridCol w:w="4519"/>
        <w:gridCol w:w="1506"/>
        <w:gridCol w:w="30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jc w:val="center"/>
        </w:trPr>
        <w:tc>
          <w:tcPr>
            <w:tcW w:w="5000" w:type="pct"/>
            <w:gridSpan w:val="4"/>
            <w:shd w:val="clear" w:color="auto" w:fill="auto"/>
            <w:vAlign w:val="center"/>
          </w:tcPr>
          <w:p>
            <w:pPr>
              <w:keepNext w:val="0"/>
              <w:keepLines w:val="0"/>
              <w:widowControl/>
              <w:suppressLineNumbers w:val="0"/>
              <w:jc w:val="center"/>
              <w:rPr>
                <w:b/>
                <w:bCs/>
                <w:sz w:val="18"/>
                <w:szCs w:val="18"/>
              </w:rPr>
            </w:pPr>
            <w:r>
              <w:rPr>
                <w:rFonts w:ascii="SimSun" w:hAnsi="SimSun" w:eastAsia="SimSun" w:cs="SimSun"/>
                <w:b/>
                <w:bCs/>
                <w:kern w:val="0"/>
                <w:sz w:val="18"/>
                <w:szCs w:val="18"/>
                <w:lang w:val="en-US" w:eastAsia="zh-CN" w:bidi="ar"/>
              </w:rPr>
              <w:t>Cientes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Header/>
          <w:jc w:val="center"/>
        </w:trPr>
        <w:tc>
          <w:tcPr>
            <w:tcW w:w="500" w:type="pct"/>
            <w:shd w:val="clear" w:color="auto" w:fill="auto"/>
            <w:vAlign w:val="center"/>
          </w:tcPr>
          <w:p>
            <w:pPr>
              <w:keepNext w:val="0"/>
              <w:keepLines w:val="0"/>
              <w:widowControl/>
              <w:suppressLineNumbers w:val="0"/>
              <w:jc w:val="center"/>
              <w:rPr>
                <w:b/>
                <w:bCs/>
                <w:sz w:val="18"/>
                <w:szCs w:val="18"/>
              </w:rPr>
            </w:pPr>
            <w:r>
              <w:rPr>
                <w:rFonts w:ascii="SimSun" w:hAnsi="SimSun" w:eastAsia="SimSun" w:cs="SimSun"/>
                <w:b/>
                <w:bCs/>
                <w:kern w:val="0"/>
                <w:sz w:val="18"/>
                <w:szCs w:val="18"/>
                <w:lang w:val="en-US" w:eastAsia="zh-CN" w:bidi="ar"/>
              </w:rPr>
              <w:t>Seq.</w:t>
            </w:r>
          </w:p>
        </w:tc>
        <w:tc>
          <w:tcPr>
            <w:tcW w:w="2250" w:type="pct"/>
            <w:shd w:val="clear" w:color="auto" w:fill="auto"/>
            <w:vAlign w:val="center"/>
          </w:tcPr>
          <w:p>
            <w:pPr>
              <w:keepNext w:val="0"/>
              <w:keepLines w:val="0"/>
              <w:widowControl/>
              <w:suppressLineNumbers w:val="0"/>
              <w:jc w:val="both"/>
              <w:rPr>
                <w:b/>
                <w:bCs/>
                <w:sz w:val="18"/>
                <w:szCs w:val="18"/>
              </w:rPr>
            </w:pPr>
            <w:r>
              <w:rPr>
                <w:rFonts w:ascii="SimSun" w:hAnsi="SimSun" w:eastAsia="SimSun" w:cs="SimSun"/>
                <w:b/>
                <w:bCs/>
                <w:kern w:val="0"/>
                <w:sz w:val="18"/>
                <w:szCs w:val="18"/>
                <w:lang w:val="en-US" w:eastAsia="zh-CN" w:bidi="ar"/>
              </w:rPr>
              <w:t>Nome</w:t>
            </w:r>
          </w:p>
        </w:tc>
        <w:tc>
          <w:tcPr>
            <w:tcW w:w="750" w:type="pct"/>
            <w:shd w:val="clear" w:color="auto" w:fill="auto"/>
            <w:vAlign w:val="center"/>
          </w:tcPr>
          <w:p>
            <w:pPr>
              <w:keepNext w:val="0"/>
              <w:keepLines w:val="0"/>
              <w:widowControl/>
              <w:suppressLineNumbers w:val="0"/>
              <w:jc w:val="center"/>
              <w:rPr>
                <w:b/>
                <w:bCs/>
                <w:sz w:val="18"/>
                <w:szCs w:val="18"/>
              </w:rPr>
            </w:pPr>
            <w:r>
              <w:rPr>
                <w:rFonts w:ascii="SimSun" w:hAnsi="SimSun" w:eastAsia="SimSun" w:cs="SimSun"/>
                <w:b/>
                <w:bCs/>
                <w:kern w:val="0"/>
                <w:sz w:val="18"/>
                <w:szCs w:val="18"/>
                <w:lang w:val="en-US" w:eastAsia="zh-CN" w:bidi="ar"/>
              </w:rPr>
              <w:t>CPF</w:t>
            </w:r>
          </w:p>
        </w:tc>
        <w:tc>
          <w:tcPr>
            <w:tcW w:w="1500" w:type="pct"/>
            <w:shd w:val="clear" w:color="auto" w:fill="auto"/>
            <w:vAlign w:val="center"/>
          </w:tcPr>
          <w:p>
            <w:pPr>
              <w:keepNext w:val="0"/>
              <w:keepLines w:val="0"/>
              <w:widowControl/>
              <w:suppressLineNumbers w:val="0"/>
              <w:jc w:val="center"/>
              <w:rPr>
                <w:b/>
                <w:bCs/>
                <w:sz w:val="18"/>
                <w:szCs w:val="18"/>
              </w:rPr>
            </w:pPr>
            <w:r>
              <w:rPr>
                <w:rFonts w:ascii="SimSun" w:hAnsi="SimSun" w:eastAsia="SimSun" w:cs="SimSun"/>
                <w:b/>
                <w:bCs/>
                <w:kern w:val="0"/>
                <w:sz w:val="18"/>
                <w:szCs w:val="18"/>
                <w:lang w:val="en-US" w:eastAsia="zh-CN" w:bidi="ar"/>
              </w:rPr>
              <w:t>Data/Hora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jc w:val="center"/>
        </w:trPr>
        <w:tc>
          <w:tcPr>
            <w:tcW w:w="0" w:type="auto"/>
            <w:shd w:val="clear" w:color="auto" w:fill="auto"/>
            <w:vAlign w:val="center"/>
          </w:tcPr>
          <w:p>
            <w:pPr>
              <w:keepNext w:val="0"/>
              <w:keepLines w:val="0"/>
              <w:widowControl/>
              <w:suppressLineNumbers w:val="0"/>
              <w:jc w:val="center"/>
              <w:rPr>
                <w:sz w:val="18"/>
                <w:szCs w:val="18"/>
              </w:rPr>
            </w:pPr>
            <w:r>
              <w:rPr>
                <w:rFonts w:ascii="SimSun" w:hAnsi="SimSun" w:eastAsia="SimSun" w:cs="SimSun"/>
                <w:kern w:val="0"/>
                <w:sz w:val="18"/>
                <w:szCs w:val="18"/>
                <w:lang w:val="en-US" w:eastAsia="zh-CN" w:bidi="ar"/>
              </w:rPr>
              <w:t>1</w:t>
            </w:r>
          </w:p>
        </w:tc>
        <w:tc>
          <w:tcPr>
            <w:tcW w:w="0" w:type="auto"/>
            <w:shd w:val="clear" w:color="auto" w:fill="auto"/>
            <w:vAlign w:val="center"/>
          </w:tcPr>
          <w:p>
            <w:pPr>
              <w:keepNext w:val="0"/>
              <w:keepLines w:val="0"/>
              <w:widowControl/>
              <w:suppressLineNumbers w:val="0"/>
              <w:jc w:val="both"/>
              <w:rPr>
                <w:sz w:val="18"/>
                <w:szCs w:val="18"/>
              </w:rPr>
            </w:pPr>
            <w:r>
              <w:rPr>
                <w:rFonts w:ascii="SimSun" w:hAnsi="SimSun" w:eastAsia="SimSun" w:cs="SimSun"/>
                <w:kern w:val="0"/>
                <w:sz w:val="18"/>
                <w:szCs w:val="18"/>
                <w:lang w:val="en-US" w:eastAsia="zh-CN" w:bidi="ar"/>
              </w:rPr>
              <w:t>SOLANGE DA SILVA LINHARES</w:t>
            </w:r>
          </w:p>
        </w:tc>
        <w:tc>
          <w:tcPr>
            <w:tcW w:w="0" w:type="auto"/>
            <w:shd w:val="clear" w:color="auto" w:fill="auto"/>
            <w:vAlign w:val="center"/>
          </w:tcPr>
          <w:p>
            <w:pPr>
              <w:keepNext w:val="0"/>
              <w:keepLines w:val="0"/>
              <w:widowControl/>
              <w:suppressLineNumbers w:val="0"/>
              <w:jc w:val="center"/>
              <w:rPr>
                <w:sz w:val="18"/>
                <w:szCs w:val="18"/>
              </w:rPr>
            </w:pPr>
            <w:r>
              <w:rPr>
                <w:rFonts w:ascii="SimSun" w:hAnsi="SimSun" w:eastAsia="SimSun" w:cs="SimSun"/>
                <w:kern w:val="0"/>
                <w:sz w:val="18"/>
                <w:szCs w:val="18"/>
                <w:lang w:val="en-US" w:eastAsia="zh-CN" w:bidi="ar"/>
              </w:rPr>
              <w:t>***.840.502-**</w:t>
            </w:r>
          </w:p>
        </w:tc>
        <w:tc>
          <w:tcPr>
            <w:tcW w:w="0" w:type="auto"/>
            <w:shd w:val="clear" w:color="auto" w:fill="auto"/>
            <w:vAlign w:val="center"/>
          </w:tcPr>
          <w:p>
            <w:pPr>
              <w:keepNext w:val="0"/>
              <w:keepLines w:val="0"/>
              <w:widowControl/>
              <w:suppressLineNumbers w:val="0"/>
              <w:jc w:val="center"/>
              <w:rPr>
                <w:sz w:val="18"/>
                <w:szCs w:val="18"/>
              </w:rPr>
            </w:pPr>
            <w:r>
              <w:rPr>
                <w:rFonts w:ascii="SimSun" w:hAnsi="SimSun" w:eastAsia="SimSun" w:cs="SimSun"/>
                <w:kern w:val="0"/>
                <w:sz w:val="18"/>
                <w:szCs w:val="18"/>
                <w:lang w:val="en-US" w:eastAsia="zh-CN" w:bidi="ar"/>
              </w:rPr>
              <w:t>06/12/2021 12:01</w:t>
            </w:r>
          </w:p>
        </w:tc>
      </w:tr>
    </w:tbl>
    <w:p>
      <w:pPr>
        <w:keepNext w:val="0"/>
        <w:keepLines w:val="0"/>
        <w:widowControl/>
        <w:suppressLineNumbers w:val="0"/>
        <w:spacing w:before="0" w:beforeAutospacing="0" w:after="60" w:afterAutospacing="0"/>
        <w:ind w:left="0" w:right="0"/>
      </w:pPr>
      <w:r>
        <w:rPr>
          <w:sz w:val="24"/>
          <w:szCs w:val="24"/>
        </w:rPr>
        <w:pict>
          <v:rect id="_x0000_i1029" o:spt="1" style="height:1.5pt;width:432pt;" fillcolor="#A0A0A0" filled="t" stroked="f" coordsize="21600,21600" o:hr="t" o:hrstd="t" o:hralign="center">
            <v:path/>
            <v:fill on="t" focussize="0,0"/>
            <v:stroke on="f"/>
            <v:imagedata o:title=""/>
            <o:lock v:ext="edit"/>
            <w10:wrap type="none"/>
            <w10:anchorlock/>
          </v:rect>
        </w:pict>
      </w:r>
    </w:p>
    <w:tbl>
      <w:tblPr>
        <w:tblStyle w:val="12"/>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30" w:type="dxa"/>
          <w:left w:w="30" w:type="dxa"/>
          <w:bottom w:w="30" w:type="dxa"/>
          <w:right w:w="30" w:type="dxa"/>
        </w:tblCellMar>
      </w:tblPr>
      <w:tblGrid>
        <w:gridCol w:w="8058"/>
        <w:gridCol w:w="20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0" w:type="dxa"/>
            <w:left w:w="30" w:type="dxa"/>
            <w:bottom w:w="30" w:type="dxa"/>
            <w:right w:w="30" w:type="dxa"/>
          </w:tblCellMar>
        </w:tblPrEx>
        <w:tc>
          <w:tcPr>
            <w:tcW w:w="4000" w:type="pct"/>
            <w:tcBorders>
              <w:top w:val="nil"/>
              <w:left w:val="nil"/>
              <w:bottom w:val="nil"/>
              <w:right w:val="nil"/>
            </w:tcBorders>
            <w:shd w:val="clear" w:color="auto" w:fill="auto"/>
            <w:vAlign w:val="center"/>
          </w:tcPr>
          <w:p>
            <w:pPr>
              <w:keepNext w:val="0"/>
              <w:keepLines w:val="0"/>
              <w:widowControl/>
              <w:suppressLineNumbers w:val="0"/>
              <w:jc w:val="left"/>
              <w:rPr>
                <w:rFonts w:hint="default" w:ascii="Arial" w:hAnsi="Arial" w:cs="Arial"/>
                <w:sz w:val="18"/>
                <w:szCs w:val="18"/>
              </w:rPr>
            </w:pPr>
            <w:r>
              <w:rPr>
                <w:rStyle w:val="14"/>
                <w:rFonts w:hint="default" w:ascii="Arial" w:hAnsi="Arial" w:eastAsia="SimSun" w:cs="Arial"/>
                <w:kern w:val="0"/>
                <w:sz w:val="18"/>
                <w:szCs w:val="18"/>
                <w:lang w:val="en-US" w:eastAsia="zh-CN" w:bidi="ar"/>
              </w:rPr>
              <w:t>Referência:</w:t>
            </w:r>
            <w:r>
              <w:rPr>
                <w:rFonts w:hint="default" w:ascii="Arial" w:hAnsi="Arial" w:eastAsia="SimSun" w:cs="Arial"/>
                <w:kern w:val="0"/>
                <w:sz w:val="18"/>
                <w:szCs w:val="18"/>
                <w:lang w:val="en-US" w:eastAsia="zh-CN" w:bidi="ar"/>
              </w:rPr>
              <w:t> </w:t>
            </w:r>
            <w:r>
              <w:rPr>
                <w:rFonts w:hint="default" w:ascii="Arial" w:hAnsi="Arial" w:eastAsia="SimSun" w:cs="Arial"/>
                <w:kern w:val="0"/>
                <w:sz w:val="18"/>
                <w:szCs w:val="18"/>
                <w:lang w:val="en-US" w:eastAsia="zh-CN" w:bidi="ar"/>
              </w:rPr>
              <w:fldChar w:fldCharType="begin"/>
            </w:r>
            <w:r>
              <w:rPr>
                <w:rFonts w:hint="default" w:ascii="Arial" w:hAnsi="Arial" w:eastAsia="SimSun" w:cs="Arial"/>
                <w:kern w:val="0"/>
                <w:sz w:val="18"/>
                <w:szCs w:val="18"/>
                <w:lang w:val="en-US" w:eastAsia="zh-CN" w:bidi="ar"/>
              </w:rPr>
              <w:instrText xml:space="preserve"> HYPERLINK "http://transparencia.ariquemes.ro.gov.br/transparencia/servicos/index.php?link=aplicacoes/protocolo/viewproc&amp;PkProcesso=205032" \o "Visualizar Processo" \t "http://eproc.ariquemes.ro.gov.br:5658/eproc/_blank" </w:instrText>
            </w:r>
            <w:r>
              <w:rPr>
                <w:rFonts w:hint="default" w:ascii="Arial" w:hAnsi="Arial" w:eastAsia="SimSun" w:cs="Arial"/>
                <w:kern w:val="0"/>
                <w:sz w:val="18"/>
                <w:szCs w:val="18"/>
                <w:lang w:val="en-US" w:eastAsia="zh-CN" w:bidi="ar"/>
              </w:rPr>
              <w:fldChar w:fldCharType="separate"/>
            </w:r>
            <w:r>
              <w:rPr>
                <w:rStyle w:val="19"/>
                <w:rFonts w:hint="default" w:ascii="Arial" w:hAnsi="Arial" w:eastAsia="SimSun" w:cs="Arial"/>
                <w:sz w:val="18"/>
                <w:szCs w:val="18"/>
              </w:rPr>
              <w:t>Processo nº 8-2883/2021</w:t>
            </w:r>
            <w:r>
              <w:rPr>
                <w:rFonts w:hint="default" w:ascii="Arial" w:hAnsi="Arial" w:eastAsia="SimSun" w:cs="Arial"/>
                <w:kern w:val="0"/>
                <w:sz w:val="18"/>
                <w:szCs w:val="18"/>
                <w:lang w:val="en-US" w:eastAsia="zh-CN" w:bidi="ar"/>
              </w:rPr>
              <w:fldChar w:fldCharType="end"/>
            </w:r>
            <w:r>
              <w:rPr>
                <w:rFonts w:hint="default" w:ascii="Arial" w:hAnsi="Arial" w:eastAsia="SimSun" w:cs="Arial"/>
                <w:kern w:val="0"/>
                <w:sz w:val="18"/>
                <w:szCs w:val="18"/>
                <w:lang w:val="en-US" w:eastAsia="zh-CN" w:bidi="ar"/>
              </w:rPr>
              <w:t>.</w:t>
            </w:r>
          </w:p>
        </w:tc>
        <w:tc>
          <w:tcPr>
            <w:tcW w:w="1000" w:type="pct"/>
            <w:tcBorders>
              <w:top w:val="nil"/>
              <w:left w:val="nil"/>
              <w:bottom w:val="nil"/>
              <w:right w:val="nil"/>
            </w:tcBorders>
            <w:shd w:val="clear" w:color="auto" w:fill="auto"/>
            <w:vAlign w:val="center"/>
          </w:tcPr>
          <w:p>
            <w:pPr>
              <w:keepNext w:val="0"/>
              <w:keepLines w:val="0"/>
              <w:widowControl/>
              <w:suppressLineNumbers w:val="0"/>
              <w:jc w:val="right"/>
              <w:rPr>
                <w:rFonts w:hint="default" w:ascii="Arial" w:hAnsi="Arial" w:cs="Arial"/>
                <w:sz w:val="18"/>
                <w:szCs w:val="18"/>
              </w:rPr>
            </w:pPr>
            <w:r>
              <w:rPr>
                <w:rFonts w:hint="default" w:ascii="Arial" w:hAnsi="Arial" w:eastAsia="SimSun" w:cs="Arial"/>
                <w:kern w:val="0"/>
                <w:sz w:val="18"/>
                <w:szCs w:val="18"/>
                <w:lang w:val="en-US" w:eastAsia="zh-CN" w:bidi="ar"/>
              </w:rPr>
              <w:t>Docto ID: 640848 v1</w:t>
            </w:r>
          </w:p>
        </w:tc>
      </w:tr>
    </w:tbl>
    <w:p>
      <w:pPr>
        <w:widowControl w:val="0"/>
        <w:spacing w:after="120"/>
        <w:jc w:val="center"/>
        <w:rPr>
          <w:rFonts w:ascii="Book Antiqua" w:hAnsi="Book Antiqua"/>
          <w:b/>
          <w:bCs/>
          <w:sz w:val="24"/>
          <w:szCs w:val="24"/>
          <w:highlight w:val="yellow"/>
        </w:rPr>
      </w:pPr>
    </w:p>
    <w:p>
      <w:pPr>
        <w:widowControl w:val="0"/>
        <w:spacing w:after="120"/>
        <w:jc w:val="center"/>
        <w:rPr>
          <w:rFonts w:ascii="Book Antiqua" w:hAnsi="Book Antiqua"/>
          <w:b/>
          <w:bCs/>
          <w:sz w:val="24"/>
          <w:szCs w:val="24"/>
          <w:highlight w:val="yellow"/>
        </w:rPr>
      </w:pPr>
    </w:p>
    <w:p>
      <w:pPr>
        <w:widowControl w:val="0"/>
        <w:spacing w:after="120"/>
        <w:jc w:val="center"/>
        <w:rPr>
          <w:rFonts w:ascii="Book Antiqua" w:hAnsi="Book Antiqua"/>
          <w:b/>
          <w:bCs/>
          <w:sz w:val="24"/>
          <w:szCs w:val="24"/>
          <w:highlight w:val="yellow"/>
        </w:rPr>
      </w:pPr>
    </w:p>
    <w:p>
      <w:pPr>
        <w:widowControl w:val="0"/>
        <w:spacing w:after="120"/>
        <w:jc w:val="center"/>
        <w:rPr>
          <w:rFonts w:ascii="Book Antiqua" w:hAnsi="Book Antiqua"/>
          <w:b/>
          <w:bCs/>
          <w:sz w:val="24"/>
          <w:szCs w:val="24"/>
          <w:highlight w:val="yellow"/>
        </w:rPr>
      </w:pPr>
    </w:p>
    <w:p>
      <w:pPr>
        <w:widowControl w:val="0"/>
        <w:spacing w:after="120"/>
        <w:jc w:val="center"/>
        <w:rPr>
          <w:rFonts w:ascii="Book Antiqua" w:hAnsi="Book Antiqua"/>
          <w:b/>
          <w:bCs/>
          <w:sz w:val="24"/>
          <w:szCs w:val="24"/>
          <w:highlight w:val="yellow"/>
        </w:rPr>
      </w:pPr>
    </w:p>
    <w:p>
      <w:pPr>
        <w:widowControl w:val="0"/>
        <w:spacing w:after="120"/>
        <w:jc w:val="center"/>
        <w:rPr>
          <w:rFonts w:ascii="Book Antiqua" w:hAnsi="Book Antiqua"/>
          <w:b/>
          <w:bCs/>
          <w:sz w:val="24"/>
          <w:szCs w:val="24"/>
          <w:highlight w:val="yellow"/>
        </w:rPr>
      </w:pPr>
    </w:p>
    <w:p>
      <w:pPr>
        <w:widowControl w:val="0"/>
        <w:spacing w:after="120"/>
        <w:jc w:val="center"/>
        <w:rPr>
          <w:rFonts w:ascii="Book Antiqua" w:hAnsi="Book Antiqua"/>
          <w:b/>
          <w:bCs/>
          <w:sz w:val="24"/>
          <w:szCs w:val="24"/>
          <w:highlight w:val="yellow"/>
        </w:rPr>
      </w:pPr>
    </w:p>
    <w:p>
      <w:pPr>
        <w:widowControl w:val="0"/>
        <w:spacing w:after="120"/>
        <w:jc w:val="center"/>
        <w:rPr>
          <w:rFonts w:ascii="Book Antiqua" w:hAnsi="Book Antiqua"/>
          <w:b/>
          <w:bCs/>
          <w:sz w:val="24"/>
          <w:szCs w:val="24"/>
          <w:highlight w:val="yellow"/>
        </w:rPr>
      </w:pPr>
    </w:p>
    <w:p>
      <w:pPr>
        <w:widowControl w:val="0"/>
        <w:spacing w:after="120"/>
        <w:jc w:val="center"/>
        <w:rPr>
          <w:rFonts w:ascii="Book Antiqua" w:hAnsi="Book Antiqua"/>
          <w:b/>
          <w:bCs/>
          <w:sz w:val="24"/>
          <w:szCs w:val="24"/>
          <w:highlight w:val="yellow"/>
        </w:rPr>
      </w:pPr>
    </w:p>
    <w:p>
      <w:pPr>
        <w:widowControl w:val="0"/>
        <w:spacing w:after="120"/>
        <w:jc w:val="center"/>
        <w:rPr>
          <w:rFonts w:ascii="Book Antiqua" w:hAnsi="Book Antiqua"/>
          <w:b/>
          <w:bCs/>
          <w:sz w:val="24"/>
          <w:szCs w:val="24"/>
          <w:highlight w:val="yellow"/>
        </w:rPr>
      </w:pPr>
    </w:p>
    <w:p>
      <w:pPr>
        <w:widowControl w:val="0"/>
        <w:spacing w:after="120"/>
        <w:jc w:val="center"/>
        <w:rPr>
          <w:rFonts w:ascii="Book Antiqua" w:hAnsi="Book Antiqua"/>
          <w:b/>
          <w:bCs/>
          <w:sz w:val="24"/>
          <w:szCs w:val="24"/>
          <w:highlight w:val="yellow"/>
        </w:rPr>
      </w:pPr>
    </w:p>
    <w:p>
      <w:pPr>
        <w:widowControl w:val="0"/>
        <w:spacing w:after="120"/>
        <w:jc w:val="center"/>
        <w:rPr>
          <w:rFonts w:ascii="Book Antiqua" w:hAnsi="Book Antiqua"/>
          <w:b/>
          <w:bCs/>
          <w:sz w:val="24"/>
          <w:szCs w:val="24"/>
          <w:highlight w:val="yellow"/>
        </w:rPr>
      </w:pPr>
    </w:p>
    <w:p>
      <w:pPr>
        <w:widowControl w:val="0"/>
        <w:spacing w:after="120"/>
        <w:jc w:val="center"/>
        <w:rPr>
          <w:rFonts w:ascii="Book Antiqua" w:hAnsi="Book Antiqua"/>
          <w:b/>
          <w:bCs/>
          <w:sz w:val="24"/>
          <w:szCs w:val="24"/>
          <w:highlight w:val="yellow"/>
        </w:rPr>
      </w:pPr>
    </w:p>
    <w:p>
      <w:pPr>
        <w:widowControl w:val="0"/>
        <w:spacing w:after="120"/>
        <w:jc w:val="center"/>
        <w:rPr>
          <w:rFonts w:ascii="Book Antiqua" w:hAnsi="Book Antiqua"/>
          <w:b/>
          <w:bCs/>
          <w:sz w:val="24"/>
          <w:szCs w:val="24"/>
          <w:highlight w:val="yellow"/>
        </w:rPr>
      </w:pPr>
    </w:p>
    <w:p>
      <w:pPr>
        <w:widowControl w:val="0"/>
        <w:spacing w:after="120"/>
        <w:jc w:val="center"/>
        <w:rPr>
          <w:rFonts w:ascii="Book Antiqua" w:hAnsi="Book Antiqua"/>
          <w:b/>
          <w:bCs/>
          <w:sz w:val="24"/>
          <w:szCs w:val="24"/>
          <w:highlight w:val="yellow"/>
        </w:rPr>
      </w:pPr>
    </w:p>
    <w:p>
      <w:pPr>
        <w:widowControl w:val="0"/>
        <w:spacing w:after="120"/>
        <w:jc w:val="center"/>
        <w:rPr>
          <w:rFonts w:ascii="Book Antiqua" w:hAnsi="Book Antiqua"/>
          <w:b/>
          <w:bCs/>
          <w:sz w:val="24"/>
          <w:szCs w:val="24"/>
          <w:highlight w:val="yellow"/>
        </w:rPr>
      </w:pPr>
    </w:p>
    <w:p>
      <w:pPr>
        <w:widowControl w:val="0"/>
        <w:spacing w:after="120"/>
        <w:jc w:val="center"/>
        <w:rPr>
          <w:rFonts w:ascii="Book Antiqua" w:hAnsi="Book Antiqua"/>
          <w:b/>
          <w:bCs/>
          <w:sz w:val="24"/>
          <w:szCs w:val="24"/>
          <w:highlight w:val="yellow"/>
        </w:rPr>
      </w:pPr>
    </w:p>
    <w:p>
      <w:pPr>
        <w:widowControl w:val="0"/>
        <w:spacing w:after="120"/>
        <w:jc w:val="center"/>
        <w:rPr>
          <w:rFonts w:ascii="Book Antiqua" w:hAnsi="Book Antiqua"/>
          <w:b/>
          <w:bCs/>
          <w:sz w:val="24"/>
          <w:szCs w:val="24"/>
          <w:highlight w:val="yellow"/>
        </w:rPr>
      </w:pPr>
    </w:p>
    <w:p>
      <w:pPr>
        <w:widowControl w:val="0"/>
        <w:spacing w:after="120"/>
        <w:jc w:val="center"/>
        <w:rPr>
          <w:rFonts w:ascii="Book Antiqua" w:hAnsi="Book Antiqua"/>
          <w:b/>
          <w:bCs/>
          <w:sz w:val="24"/>
          <w:szCs w:val="24"/>
          <w:highlight w:val="yellow"/>
        </w:rPr>
      </w:pPr>
    </w:p>
    <w:p>
      <w:pPr>
        <w:widowControl w:val="0"/>
        <w:spacing w:after="120"/>
        <w:jc w:val="center"/>
        <w:rPr>
          <w:rFonts w:ascii="Book Antiqua" w:hAnsi="Book Antiqua"/>
          <w:b/>
          <w:bCs/>
          <w:sz w:val="24"/>
          <w:szCs w:val="24"/>
          <w:highlight w:val="yellow"/>
        </w:rPr>
      </w:pPr>
    </w:p>
    <w:p>
      <w:pPr>
        <w:widowControl w:val="0"/>
        <w:pBdr>
          <w:top w:val="single" w:color="auto" w:sz="4" w:space="1"/>
          <w:left w:val="single" w:color="auto" w:sz="4" w:space="4"/>
          <w:bottom w:val="single" w:color="auto" w:sz="4" w:space="1"/>
          <w:right w:val="single" w:color="auto" w:sz="4" w:space="4"/>
        </w:pBdr>
        <w:shd w:val="clear" w:color="auto" w:fill="CCCCCC"/>
        <w:autoSpaceDE w:val="0"/>
        <w:autoSpaceDN w:val="0"/>
        <w:adjustRightInd w:val="0"/>
        <w:spacing w:after="120"/>
        <w:jc w:val="center"/>
        <w:rPr>
          <w:rFonts w:ascii="Book Antiqua" w:hAnsi="Book Antiqua"/>
          <w:b/>
          <w:bCs/>
          <w:color w:val="0000FF"/>
          <w:sz w:val="24"/>
        </w:rPr>
      </w:pPr>
      <w:r>
        <w:rPr>
          <w:rFonts w:hint="default" w:ascii="Book Antiqua" w:hAnsi="Book Antiqua"/>
          <w:b/>
          <w:color w:val="0000FF"/>
          <w:sz w:val="24"/>
          <w:lang w:val="pt-BR"/>
        </w:rPr>
        <w:t>P</w:t>
      </w:r>
      <w:r>
        <w:rPr>
          <w:rFonts w:ascii="Book Antiqua" w:hAnsi="Book Antiqua"/>
          <w:b/>
          <w:color w:val="0000FF"/>
          <w:sz w:val="24"/>
        </w:rPr>
        <w:t xml:space="preserve">REGÃO ELETRÔNICO N.º </w:t>
      </w:r>
      <w:r>
        <w:rPr>
          <w:rFonts w:ascii="Book Antiqua" w:hAnsi="Book Antiqua"/>
          <w:b/>
          <w:bCs/>
          <w:color w:val="0000FF"/>
          <w:sz w:val="24"/>
        </w:rPr>
        <w:fldChar w:fldCharType="begin"/>
      </w:r>
      <w:r>
        <w:rPr>
          <w:rFonts w:ascii="Book Antiqua" w:hAnsi="Book Antiqua"/>
          <w:b/>
          <w:color w:val="0000FF"/>
          <w:sz w:val="24"/>
        </w:rPr>
        <w:instrText xml:space="preserve"> MERGEFIELD "Nº_PREGÃO" </w:instrText>
      </w:r>
      <w:r>
        <w:rPr>
          <w:rFonts w:ascii="Book Antiqua" w:hAnsi="Book Antiqua"/>
          <w:b/>
          <w:bCs/>
          <w:color w:val="0000FF"/>
          <w:sz w:val="24"/>
        </w:rPr>
        <w:fldChar w:fldCharType="separate"/>
      </w:r>
      <w:r>
        <w:rPr>
          <w:rFonts w:hint="default" w:ascii="Book Antiqua" w:hAnsi="Book Antiqua"/>
          <w:b/>
          <w:color w:val="0000FF"/>
          <w:sz w:val="24"/>
          <w:lang w:val="pt-BR"/>
        </w:rPr>
        <w:t>168</w:t>
      </w:r>
      <w:r>
        <w:rPr>
          <w:rFonts w:ascii="Book Antiqua" w:hAnsi="Book Antiqua"/>
          <w:b/>
          <w:color w:val="0000FF"/>
          <w:sz w:val="24"/>
        </w:rPr>
        <w:t>/2021/SML/</w:t>
      </w:r>
      <w:r>
        <w:rPr>
          <w:rFonts w:ascii="Book Antiqua" w:hAnsi="Book Antiqua"/>
          <w:b/>
          <w:bCs/>
          <w:color w:val="0000FF"/>
          <w:sz w:val="24"/>
        </w:rPr>
        <w:fldChar w:fldCharType="end"/>
      </w:r>
      <w:r>
        <w:rPr>
          <w:rFonts w:ascii="Book Antiqua" w:hAnsi="Book Antiqua"/>
          <w:b/>
          <w:bCs/>
          <w:color w:val="0000FF"/>
          <w:sz w:val="24"/>
        </w:rPr>
        <w:t>PMA</w:t>
      </w:r>
    </w:p>
    <w:p>
      <w:pPr>
        <w:widowControl w:val="0"/>
        <w:spacing w:after="120"/>
        <w:jc w:val="center"/>
        <w:rPr>
          <w:rFonts w:ascii="Book Antiqua" w:hAnsi="Book Antiqua"/>
          <w:sz w:val="24"/>
          <w:szCs w:val="24"/>
          <w:highlight w:val="yellow"/>
        </w:rPr>
      </w:pPr>
      <w:r>
        <w:rPr>
          <w:rFonts w:ascii="Book Antiqua" w:hAnsi="Book Antiqua"/>
          <w:b/>
          <w:bCs/>
          <w:sz w:val="24"/>
          <w:szCs w:val="24"/>
          <w:highlight w:val="yellow"/>
        </w:rPr>
        <w:t xml:space="preserve">ANEXO II – EDITAL </w:t>
      </w:r>
      <w:r>
        <w:rPr>
          <w:rFonts w:ascii="Book Antiqua" w:hAnsi="Book Antiqua"/>
          <w:sz w:val="24"/>
          <w:szCs w:val="24"/>
          <w:highlight w:val="yellow"/>
        </w:rPr>
        <w:t xml:space="preserve"> </w:t>
      </w:r>
    </w:p>
    <w:p>
      <w:pPr>
        <w:widowControl w:val="0"/>
        <w:spacing w:after="120"/>
        <w:jc w:val="center"/>
        <w:rPr>
          <w:rFonts w:ascii="Book Antiqua" w:hAnsi="Book Antiqua"/>
          <w:b/>
          <w:u w:val="single"/>
        </w:rPr>
      </w:pPr>
      <w:r>
        <w:rPr>
          <w:rFonts w:ascii="Book Antiqua" w:hAnsi="Book Antiqua"/>
          <w:b/>
          <w:iCs/>
          <w:highlight w:val="yellow"/>
          <w:u w:val="single"/>
        </w:rPr>
        <w:t xml:space="preserve">MODELO </w:t>
      </w:r>
      <w:r>
        <w:rPr>
          <w:rFonts w:ascii="Book Antiqua" w:hAnsi="Book Antiqua"/>
          <w:b/>
          <w:highlight w:val="yellow"/>
          <w:u w:val="single"/>
        </w:rPr>
        <w:t>DE PROPOSTA COMERCIAL (PREÇOS)</w:t>
      </w:r>
    </w:p>
    <w:p>
      <w:pPr>
        <w:pStyle w:val="7"/>
        <w:keepNext w:val="0"/>
        <w:widowControl w:val="0"/>
        <w:jc w:val="both"/>
        <w:rPr>
          <w:rFonts w:ascii="Book Antiqua" w:hAnsi="Book Antiqua"/>
          <w:bCs/>
          <w:sz w:val="20"/>
          <w:szCs w:val="20"/>
        </w:rPr>
      </w:pPr>
      <w:r>
        <w:rPr>
          <w:rFonts w:ascii="Book Antiqua" w:hAnsi="Book Antiqua"/>
          <w:sz w:val="20"/>
          <w:szCs w:val="20"/>
        </w:rPr>
        <w:t>À PREFEITURA MUNICIPAL DE ARIQUEMES</w:t>
      </w:r>
    </w:p>
    <w:p>
      <w:pPr>
        <w:widowControl w:val="0"/>
        <w:tabs>
          <w:tab w:val="left" w:pos="7095"/>
        </w:tabs>
        <w:jc w:val="both"/>
        <w:rPr>
          <w:rFonts w:ascii="Book Antiqua" w:hAnsi="Book Antiqua"/>
          <w:b/>
          <w:sz w:val="20"/>
          <w:szCs w:val="20"/>
        </w:rPr>
      </w:pPr>
      <w:r>
        <w:rPr>
          <w:rFonts w:ascii="Book Antiqua" w:hAnsi="Book Antiqua"/>
          <w:b/>
          <w:sz w:val="20"/>
          <w:szCs w:val="20"/>
        </w:rPr>
        <w:t>PREGÃO Nº</w:t>
      </w:r>
      <w:r>
        <w:rPr>
          <w:rFonts w:hint="default" w:ascii="Book Antiqua" w:hAnsi="Book Antiqua"/>
          <w:b/>
          <w:sz w:val="20"/>
          <w:szCs w:val="20"/>
          <w:lang w:val="pt-BR"/>
        </w:rPr>
        <w:t xml:space="preserve"> 168</w:t>
      </w:r>
      <w:r>
        <w:rPr>
          <w:rFonts w:ascii="Book Antiqua" w:hAnsi="Book Antiqua"/>
          <w:b/>
          <w:sz w:val="20"/>
          <w:szCs w:val="20"/>
        </w:rPr>
        <w:t>/2021/SML/PMA</w:t>
      </w:r>
    </w:p>
    <w:p>
      <w:pPr>
        <w:widowControl w:val="0"/>
        <w:tabs>
          <w:tab w:val="left" w:pos="7095"/>
        </w:tabs>
        <w:jc w:val="both"/>
        <w:rPr>
          <w:rFonts w:ascii="Book Antiqua" w:hAnsi="Book Antiqua"/>
          <w:b/>
          <w:sz w:val="20"/>
          <w:szCs w:val="20"/>
        </w:rPr>
      </w:pPr>
      <w:r>
        <w:rPr>
          <w:rFonts w:ascii="Book Antiqua" w:hAnsi="Book Antiqua"/>
          <w:b/>
          <w:sz w:val="20"/>
          <w:szCs w:val="20"/>
        </w:rPr>
        <w:t xml:space="preserve">PROCESSO N° </w:t>
      </w:r>
      <w:r>
        <w:rPr>
          <w:rFonts w:hint="default" w:ascii="Book Antiqua" w:hAnsi="Book Antiqua"/>
          <w:b/>
          <w:sz w:val="20"/>
          <w:szCs w:val="20"/>
          <w:lang w:val="pt-BR"/>
        </w:rPr>
        <w:t>2883</w:t>
      </w:r>
      <w:r>
        <w:rPr>
          <w:rFonts w:ascii="Book Antiqua" w:hAnsi="Book Antiqua"/>
          <w:b/>
          <w:sz w:val="20"/>
          <w:szCs w:val="20"/>
        </w:rPr>
        <w:t>/2021/SEM</w:t>
      </w:r>
      <w:r>
        <w:rPr>
          <w:rFonts w:hint="default" w:ascii="Book Antiqua" w:hAnsi="Book Antiqua"/>
          <w:b/>
          <w:sz w:val="20"/>
          <w:szCs w:val="20"/>
          <w:lang w:val="pt-BR"/>
        </w:rPr>
        <w:t>DES</w:t>
      </w:r>
    </w:p>
    <w:p>
      <w:pPr>
        <w:pStyle w:val="22"/>
        <w:rPr>
          <w:sz w:val="22"/>
        </w:rPr>
      </w:pPr>
    </w:p>
    <w:p>
      <w:pPr>
        <w:pStyle w:val="22"/>
        <w:spacing w:after="48" w:afterLines="20"/>
        <w:rPr>
          <w:rFonts w:ascii="Book Antiqua" w:hAnsi="Book Antiqua" w:cs="Book Antiqua"/>
          <w:sz w:val="20"/>
          <w:szCs w:val="20"/>
        </w:rPr>
      </w:pPr>
      <w:r>
        <w:rPr>
          <w:rFonts w:ascii="Book Antiqua" w:hAnsi="Book Antiqua" w:cs="Book Antiqua"/>
          <w:sz w:val="20"/>
          <w:szCs w:val="20"/>
        </w:rPr>
        <w:t>Prezados Senhores,</w:t>
      </w:r>
    </w:p>
    <w:p>
      <w:pPr>
        <w:pStyle w:val="22"/>
        <w:spacing w:after="48" w:afterLines="20"/>
        <w:rPr>
          <w:rFonts w:ascii="Book Antiqua" w:hAnsi="Book Antiqua" w:cs="Book Antiqua"/>
          <w:sz w:val="20"/>
          <w:szCs w:val="20"/>
        </w:rPr>
      </w:pPr>
      <w:r>
        <w:rPr>
          <w:rFonts w:ascii="Book Antiqua" w:hAnsi="Book Antiqua" w:cs="Book Antiqua"/>
          <w:sz w:val="20"/>
          <w:szCs w:val="20"/>
        </w:rPr>
        <w:t>Apresentamos a V.Sª, nossa proposta de preços para fornecimento dos materiais _______________________________, pelo preço total por ____ no valor de R$___________ (_____________), nos termos do Edital e seus Anexos.</w:t>
      </w:r>
    </w:p>
    <w:p>
      <w:pPr>
        <w:pStyle w:val="22"/>
        <w:spacing w:after="48" w:afterLines="20"/>
        <w:rPr>
          <w:rFonts w:ascii="Book Antiqua" w:hAnsi="Book Antiqua" w:cs="Book Antiqua"/>
          <w:b/>
          <w:sz w:val="20"/>
          <w:szCs w:val="20"/>
        </w:rPr>
      </w:pPr>
      <w:r>
        <w:rPr>
          <w:rFonts w:ascii="Book Antiqua" w:hAnsi="Book Antiqua" w:cs="Book Antiqua"/>
          <w:b/>
          <w:sz w:val="20"/>
          <w:szCs w:val="20"/>
        </w:rPr>
        <w:t>O prazo de validade da proposta de preços é de_______ dias corridos, contados da data da abertura da licitação.</w:t>
      </w:r>
    </w:p>
    <w:p>
      <w:pPr>
        <w:pStyle w:val="22"/>
        <w:spacing w:after="48" w:afterLines="20"/>
        <w:rPr>
          <w:rFonts w:ascii="Book Antiqua" w:hAnsi="Book Antiqua" w:cs="Book Antiqua"/>
          <w:b/>
          <w:sz w:val="20"/>
          <w:szCs w:val="20"/>
        </w:rPr>
      </w:pPr>
      <w:r>
        <w:rPr>
          <w:rFonts w:ascii="Book Antiqua" w:hAnsi="Book Antiqua" w:cs="Book Antiqua"/>
          <w:b/>
          <w:sz w:val="20"/>
          <w:szCs w:val="20"/>
        </w:rPr>
        <w:t xml:space="preserve">O prazo de execução dos serviços é de ___________ (conforme subitem </w:t>
      </w:r>
      <w:r>
        <w:rPr>
          <w:rFonts w:hint="default" w:ascii="Book Antiqua" w:hAnsi="Book Antiqua" w:cs="Book Antiqua"/>
          <w:b/>
          <w:sz w:val="20"/>
          <w:szCs w:val="20"/>
          <w:lang w:val="pt-BR"/>
        </w:rPr>
        <w:t>3.2.5 e 29.1.3</w:t>
      </w:r>
      <w:r>
        <w:rPr>
          <w:rFonts w:ascii="Book Antiqua" w:hAnsi="Book Antiqua" w:cs="Book Antiqua"/>
          <w:b/>
          <w:sz w:val="20"/>
          <w:szCs w:val="20"/>
        </w:rPr>
        <w:t xml:space="preserve"> do Termo de Referência, Anexo I do Edital);</w:t>
      </w:r>
    </w:p>
    <w:p>
      <w:pPr>
        <w:pStyle w:val="22"/>
        <w:spacing w:after="48" w:afterLines="20"/>
        <w:rPr>
          <w:rFonts w:ascii="Book Antiqua" w:hAnsi="Book Antiqua" w:cs="Book Antiqua"/>
          <w:sz w:val="20"/>
          <w:szCs w:val="20"/>
        </w:rPr>
      </w:pPr>
      <w:r>
        <w:rPr>
          <w:rFonts w:ascii="Book Antiqua" w:hAnsi="Book Antiqua" w:cs="Book Antiqua"/>
          <w:sz w:val="20"/>
          <w:szCs w:val="20"/>
        </w:rPr>
        <w:t>Declaramos que estamos de pleno acordo com todas as condições estabelecidas no Edital e seus Anexos, bem como aceitamos todas as obrigações e responsabilidades especificadas no Termo de Referência.</w:t>
      </w:r>
    </w:p>
    <w:p>
      <w:pPr>
        <w:pStyle w:val="22"/>
        <w:spacing w:after="48" w:afterLines="20"/>
        <w:rPr>
          <w:rFonts w:ascii="Book Antiqua" w:hAnsi="Book Antiqua" w:cs="Book Antiqua"/>
          <w:sz w:val="20"/>
          <w:szCs w:val="20"/>
        </w:rPr>
      </w:pPr>
      <w:r>
        <w:rPr>
          <w:rFonts w:ascii="Book Antiqua" w:hAnsi="Book Antiqua" w:cs="Book Antiqua"/>
          <w:sz w:val="20"/>
          <w:szCs w:val="20"/>
        </w:rPr>
        <w:t xml:space="preserve">Declaramos que nos preços cotados estão incluídas todas as despesas que, direta ou indiretamente, fazem parte do presente objeto, tais como gastos da empresa com suporte técnico e administrativo, impostos, seguros, taxas, ou quaisquer outros que possam incidir sobre gastos da empresa, sem quaisquer acréscimos em virtude de expectativa </w:t>
      </w:r>
      <w:r>
        <w:rPr>
          <w:rFonts w:ascii="Book Antiqua" w:hAnsi="Book Antiqua" w:cs="Book Antiqua"/>
          <w:sz w:val="20"/>
          <w:szCs w:val="20"/>
          <w:lang w:val="pt-BR"/>
        </w:rPr>
        <w:t>inflacion</w:t>
      </w:r>
      <w:r>
        <w:rPr>
          <w:rFonts w:hint="default" w:ascii="Book Antiqua" w:hAnsi="Book Antiqua" w:cs="Book Antiqua"/>
          <w:sz w:val="20"/>
          <w:szCs w:val="20"/>
          <w:lang w:val="pt-BR"/>
        </w:rPr>
        <w:t>á</w:t>
      </w:r>
      <w:r>
        <w:rPr>
          <w:rFonts w:ascii="Book Antiqua" w:hAnsi="Book Antiqua" w:cs="Book Antiqua"/>
          <w:sz w:val="20"/>
          <w:szCs w:val="20"/>
          <w:lang w:val="pt-BR"/>
        </w:rPr>
        <w:t>ria</w:t>
      </w:r>
      <w:r>
        <w:rPr>
          <w:rFonts w:ascii="Book Antiqua" w:hAnsi="Book Antiqua" w:cs="Book Antiqua"/>
          <w:sz w:val="20"/>
          <w:szCs w:val="20"/>
        </w:rPr>
        <w:t xml:space="preserve"> e deduzidos os descontos eventualmente concedidos.</w:t>
      </w:r>
    </w:p>
    <w:p>
      <w:pPr>
        <w:pStyle w:val="22"/>
        <w:spacing w:after="48" w:afterLines="20"/>
        <w:rPr>
          <w:rFonts w:ascii="Book Antiqua" w:hAnsi="Book Antiqua" w:cs="Book Antiqua"/>
          <w:sz w:val="20"/>
          <w:szCs w:val="20"/>
        </w:rPr>
      </w:pPr>
      <w:r>
        <w:rPr>
          <w:rFonts w:ascii="Book Antiqua" w:hAnsi="Book Antiqua" w:cs="Book Antiqua"/>
          <w:sz w:val="20"/>
          <w:szCs w:val="20"/>
        </w:rPr>
        <w:t>Caso nos seja adjudicado o objeto da licitação, comprometemo-nos em assinar o contrato no prazo determinado no documento de convocação, e para esse fim fornecemos os seguintes dados:</w:t>
      </w:r>
    </w:p>
    <w:tbl>
      <w:tblPr>
        <w:tblStyle w:val="12"/>
        <w:tblW w:w="10110" w:type="dxa"/>
        <w:jc w:val="center"/>
        <w:tblLayout w:type="fixed"/>
        <w:tblCellMar>
          <w:top w:w="0" w:type="dxa"/>
          <w:left w:w="70" w:type="dxa"/>
          <w:bottom w:w="0" w:type="dxa"/>
          <w:right w:w="70" w:type="dxa"/>
        </w:tblCellMar>
      </w:tblPr>
      <w:tblGrid>
        <w:gridCol w:w="887"/>
        <w:gridCol w:w="1175"/>
        <w:gridCol w:w="813"/>
        <w:gridCol w:w="5250"/>
        <w:gridCol w:w="1985"/>
      </w:tblGrid>
      <w:tr>
        <w:tblPrEx>
          <w:tblCellMar>
            <w:top w:w="0" w:type="dxa"/>
            <w:left w:w="70" w:type="dxa"/>
            <w:bottom w:w="0" w:type="dxa"/>
            <w:right w:w="70" w:type="dxa"/>
          </w:tblCellMar>
        </w:tblPrEx>
        <w:trPr>
          <w:trHeight w:val="252" w:hRule="atLeast"/>
          <w:jc w:val="center"/>
        </w:trPr>
        <w:tc>
          <w:tcPr>
            <w:tcW w:w="887" w:type="dxa"/>
            <w:tcBorders>
              <w:top w:val="single" w:color="000000" w:sz="4" w:space="0"/>
              <w:left w:val="single" w:color="000000" w:sz="4" w:space="0"/>
              <w:bottom w:val="single" w:color="000000" w:sz="4" w:space="0"/>
            </w:tcBorders>
            <w:shd w:val="clear" w:color="auto" w:fill="A6A6A6"/>
            <w:vAlign w:val="center"/>
          </w:tcPr>
          <w:p>
            <w:pPr>
              <w:jc w:val="center"/>
              <w:rPr>
                <w:rFonts w:ascii="Book Antiqua" w:hAnsi="Book Antiqua" w:eastAsia="Arial" w:cs="Book Antiqua"/>
                <w:color w:val="000000"/>
                <w:sz w:val="20"/>
                <w:szCs w:val="20"/>
              </w:rPr>
            </w:pPr>
            <w:r>
              <w:rPr>
                <w:rFonts w:ascii="Book Antiqua" w:hAnsi="Book Antiqua" w:eastAsia="Arial" w:cs="Book Antiqua"/>
                <w:b/>
                <w:bCs/>
                <w:color w:val="000000"/>
                <w:sz w:val="20"/>
                <w:szCs w:val="20"/>
              </w:rPr>
              <w:t>ITEM</w:t>
            </w:r>
          </w:p>
        </w:tc>
        <w:tc>
          <w:tcPr>
            <w:tcW w:w="1175" w:type="dxa"/>
            <w:tcBorders>
              <w:top w:val="single" w:color="000000" w:sz="4" w:space="0"/>
              <w:left w:val="single" w:color="000000" w:sz="4" w:space="0"/>
              <w:bottom w:val="single" w:color="000000" w:sz="4" w:space="0"/>
            </w:tcBorders>
            <w:shd w:val="clear" w:color="auto" w:fill="A6A6A6"/>
            <w:vAlign w:val="center"/>
          </w:tcPr>
          <w:p>
            <w:pPr>
              <w:jc w:val="center"/>
              <w:rPr>
                <w:rFonts w:ascii="Book Antiqua" w:hAnsi="Book Antiqua" w:eastAsia="Arial" w:cs="Book Antiqua"/>
                <w:color w:val="000000"/>
                <w:sz w:val="20"/>
                <w:szCs w:val="20"/>
              </w:rPr>
            </w:pPr>
            <w:r>
              <w:rPr>
                <w:rFonts w:ascii="Book Antiqua" w:hAnsi="Book Antiqua" w:eastAsia="Arial" w:cs="Book Antiqua"/>
                <w:b/>
                <w:bCs/>
                <w:color w:val="000000"/>
                <w:sz w:val="20"/>
                <w:szCs w:val="20"/>
              </w:rPr>
              <w:t>QUANT.</w:t>
            </w:r>
          </w:p>
        </w:tc>
        <w:tc>
          <w:tcPr>
            <w:tcW w:w="813" w:type="dxa"/>
            <w:tcBorders>
              <w:top w:val="single" w:color="000000" w:sz="4" w:space="0"/>
              <w:left w:val="single" w:color="000000" w:sz="4" w:space="0"/>
              <w:bottom w:val="single" w:color="000000" w:sz="4" w:space="0"/>
            </w:tcBorders>
            <w:shd w:val="clear" w:color="auto" w:fill="A6A6A6"/>
            <w:vAlign w:val="center"/>
          </w:tcPr>
          <w:p>
            <w:pPr>
              <w:jc w:val="center"/>
              <w:rPr>
                <w:rFonts w:ascii="Book Antiqua" w:hAnsi="Book Antiqua" w:eastAsia="Arial" w:cs="Book Antiqua"/>
                <w:color w:val="000000"/>
                <w:sz w:val="20"/>
                <w:szCs w:val="20"/>
              </w:rPr>
            </w:pPr>
            <w:r>
              <w:rPr>
                <w:rFonts w:ascii="Book Antiqua" w:hAnsi="Book Antiqua" w:eastAsia="Arial" w:cs="Book Antiqua"/>
                <w:b/>
                <w:bCs/>
                <w:color w:val="000000"/>
                <w:sz w:val="20"/>
                <w:szCs w:val="20"/>
              </w:rPr>
              <w:t>UND.</w:t>
            </w:r>
          </w:p>
        </w:tc>
        <w:tc>
          <w:tcPr>
            <w:tcW w:w="5250" w:type="dxa"/>
            <w:tcBorders>
              <w:top w:val="single" w:color="000000" w:sz="4" w:space="0"/>
              <w:left w:val="single" w:color="000000" w:sz="4" w:space="0"/>
              <w:bottom w:val="single" w:color="000000" w:sz="4" w:space="0"/>
              <w:right w:val="single" w:color="000000" w:sz="4" w:space="0"/>
            </w:tcBorders>
            <w:shd w:val="clear" w:color="auto" w:fill="A6A6A6"/>
            <w:vAlign w:val="center"/>
          </w:tcPr>
          <w:p>
            <w:pPr>
              <w:jc w:val="center"/>
              <w:rPr>
                <w:rFonts w:ascii="Book Antiqua" w:hAnsi="Book Antiqua" w:eastAsia="Arial" w:cs="Book Antiqua"/>
                <w:b/>
                <w:bCs/>
                <w:color w:val="000000"/>
                <w:sz w:val="20"/>
                <w:szCs w:val="20"/>
              </w:rPr>
            </w:pPr>
            <w:r>
              <w:rPr>
                <w:rFonts w:ascii="Book Antiqua" w:hAnsi="Book Antiqua" w:eastAsia="Arial" w:cs="Book Antiqua"/>
                <w:b/>
                <w:bCs/>
                <w:color w:val="000000"/>
                <w:sz w:val="20"/>
                <w:szCs w:val="20"/>
              </w:rPr>
              <w:t>DESCRIÇÃO DOS SERVIÇOS</w:t>
            </w:r>
          </w:p>
        </w:tc>
        <w:tc>
          <w:tcPr>
            <w:tcW w:w="1985" w:type="dxa"/>
            <w:tcBorders>
              <w:top w:val="single" w:color="000000" w:sz="4" w:space="0"/>
              <w:left w:val="single" w:color="000000" w:sz="4" w:space="0"/>
              <w:bottom w:val="single" w:color="000000" w:sz="4" w:space="0"/>
              <w:right w:val="single" w:color="000000" w:sz="4" w:space="0"/>
            </w:tcBorders>
            <w:shd w:val="clear" w:color="auto" w:fill="A6A6A6"/>
          </w:tcPr>
          <w:p>
            <w:pPr>
              <w:jc w:val="center"/>
              <w:rPr>
                <w:rFonts w:hint="default" w:ascii="Book Antiqua" w:hAnsi="Book Antiqua" w:eastAsia="Arial" w:cs="Book Antiqua"/>
                <w:b/>
                <w:bCs/>
                <w:color w:val="000000"/>
                <w:sz w:val="20"/>
                <w:szCs w:val="20"/>
                <w:lang w:val="pt-BR"/>
              </w:rPr>
            </w:pPr>
            <w:r>
              <w:rPr>
                <w:rFonts w:ascii="Book Antiqua" w:hAnsi="Book Antiqua" w:eastAsia="Arial" w:cs="Book Antiqua"/>
                <w:b/>
                <w:bCs/>
                <w:color w:val="000000"/>
                <w:sz w:val="20"/>
                <w:szCs w:val="20"/>
              </w:rPr>
              <w:t xml:space="preserve">VALOR </w:t>
            </w:r>
            <w:r>
              <w:rPr>
                <w:rFonts w:hint="default" w:ascii="Book Antiqua" w:hAnsi="Book Antiqua" w:eastAsia="Arial" w:cs="Book Antiqua"/>
                <w:b/>
                <w:bCs/>
                <w:color w:val="000000"/>
                <w:sz w:val="20"/>
                <w:szCs w:val="20"/>
                <w:lang w:val="pt-BR"/>
              </w:rPr>
              <w:t>por 12 MESES</w:t>
            </w:r>
          </w:p>
        </w:tc>
      </w:tr>
      <w:tr>
        <w:tblPrEx>
          <w:tblCellMar>
            <w:top w:w="0" w:type="dxa"/>
            <w:left w:w="70" w:type="dxa"/>
            <w:bottom w:w="0" w:type="dxa"/>
            <w:right w:w="70" w:type="dxa"/>
          </w:tblCellMar>
        </w:tblPrEx>
        <w:trPr>
          <w:trHeight w:val="23" w:hRule="atLeast"/>
          <w:jc w:val="center"/>
        </w:trPr>
        <w:tc>
          <w:tcPr>
            <w:tcW w:w="887" w:type="dxa"/>
            <w:tcBorders>
              <w:top w:val="single" w:color="000000" w:sz="4" w:space="0"/>
              <w:left w:val="single" w:color="000000" w:sz="4" w:space="0"/>
              <w:bottom w:val="single" w:color="000000" w:sz="4" w:space="0"/>
              <w:right w:val="single" w:color="000000" w:sz="4" w:space="0"/>
            </w:tcBorders>
            <w:vAlign w:val="center"/>
          </w:tcPr>
          <w:p>
            <w:pPr>
              <w:tabs>
                <w:tab w:val="left" w:pos="0"/>
                <w:tab w:val="left" w:pos="280"/>
              </w:tabs>
              <w:jc w:val="center"/>
              <w:rPr>
                <w:rFonts w:hint="default" w:ascii="Book Antiqua" w:hAnsi="Book Antiqua" w:cs="Book Antiqua"/>
                <w:color w:val="000000"/>
                <w:sz w:val="20"/>
                <w:szCs w:val="20"/>
                <w:lang w:val="pt-BR"/>
              </w:rPr>
            </w:pPr>
            <w:r>
              <w:rPr>
                <w:rFonts w:hint="default" w:ascii="Book Antiqua" w:hAnsi="Book Antiqua" w:cs="Book Antiqua"/>
                <w:color w:val="000000"/>
                <w:sz w:val="20"/>
                <w:szCs w:val="20"/>
                <w:lang w:val="pt-BR"/>
              </w:rPr>
              <w:t>01</w:t>
            </w:r>
          </w:p>
        </w:tc>
        <w:tc>
          <w:tcPr>
            <w:tcW w:w="1175" w:type="dxa"/>
            <w:tcBorders>
              <w:top w:val="single" w:color="000000" w:sz="4" w:space="0"/>
              <w:left w:val="single" w:color="000000" w:sz="4" w:space="0"/>
              <w:bottom w:val="single" w:color="000000" w:sz="4" w:space="0"/>
              <w:right w:val="single" w:color="000000" w:sz="4" w:space="0"/>
            </w:tcBorders>
            <w:vAlign w:val="center"/>
          </w:tcPr>
          <w:p>
            <w:pPr>
              <w:spacing w:line="360" w:lineRule="auto"/>
              <w:ind w:left="-80" w:firstLine="15"/>
              <w:jc w:val="center"/>
              <w:rPr>
                <w:rFonts w:hint="default" w:ascii="Book Antiqua" w:hAnsi="Book Antiqua" w:cs="Book Antiqua"/>
                <w:color w:val="000000"/>
                <w:sz w:val="20"/>
                <w:szCs w:val="20"/>
                <w:lang w:val="pt-BR"/>
              </w:rPr>
            </w:pPr>
            <w:r>
              <w:rPr>
                <w:rFonts w:hint="default" w:ascii="Book Antiqua" w:hAnsi="Book Antiqua" w:cs="Book Antiqua"/>
                <w:color w:val="000000"/>
                <w:sz w:val="20"/>
                <w:szCs w:val="20"/>
                <w:lang w:val="pt-BR"/>
              </w:rPr>
              <w:t>01</w:t>
            </w:r>
          </w:p>
        </w:tc>
        <w:tc>
          <w:tcPr>
            <w:tcW w:w="813" w:type="dxa"/>
            <w:tcBorders>
              <w:top w:val="single" w:color="000000" w:sz="4" w:space="0"/>
              <w:left w:val="single" w:color="000000" w:sz="4" w:space="0"/>
              <w:bottom w:val="single" w:color="000000" w:sz="4" w:space="0"/>
              <w:right w:val="single" w:color="000000" w:sz="4" w:space="0"/>
            </w:tcBorders>
            <w:shd w:val="clear" w:color="auto" w:fill="FFFFFF"/>
            <w:vAlign w:val="center"/>
          </w:tcPr>
          <w:p>
            <w:pPr>
              <w:spacing w:line="360" w:lineRule="auto"/>
              <w:jc w:val="center"/>
              <w:rPr>
                <w:rFonts w:hint="default" w:ascii="Book Antiqua" w:hAnsi="Book Antiqua" w:cs="Book Antiqua"/>
                <w:color w:val="000000"/>
                <w:sz w:val="20"/>
                <w:szCs w:val="20"/>
                <w:lang w:val="pt-BR"/>
              </w:rPr>
            </w:pPr>
            <w:r>
              <w:rPr>
                <w:rFonts w:hint="default" w:ascii="Book Antiqua" w:hAnsi="Book Antiqua" w:cs="Book Antiqua"/>
                <w:color w:val="000000"/>
                <w:sz w:val="20"/>
                <w:szCs w:val="20"/>
                <w:lang w:val="pt-BR"/>
              </w:rPr>
              <w:t>Serv.</w:t>
            </w:r>
          </w:p>
        </w:tc>
        <w:tc>
          <w:tcPr>
            <w:tcW w:w="5250" w:type="dxa"/>
            <w:tcBorders>
              <w:top w:val="single" w:color="000000" w:sz="4" w:space="0"/>
              <w:left w:val="single" w:color="000000" w:sz="4" w:space="0"/>
              <w:bottom w:val="single" w:color="000000" w:sz="4" w:space="0"/>
              <w:right w:val="single" w:color="000000" w:sz="4" w:space="0"/>
            </w:tcBorders>
            <w:shd w:val="clear" w:color="auto" w:fill="FFFFFF"/>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Book Antiqua" w:hAnsi="Book Antiqua" w:cs="Book Antiqua"/>
                <w:color w:val="000000"/>
                <w:sz w:val="18"/>
                <w:szCs w:val="18"/>
                <w:lang w:val="pt-BR"/>
              </w:rPr>
            </w:pPr>
            <w:r>
              <w:rPr>
                <w:rFonts w:hint="default" w:ascii="Book Antiqua" w:hAnsi="Book Antiqua" w:eastAsia="SimSun" w:cs="Book Antiqua"/>
                <w:i w:val="0"/>
                <w:iCs w:val="0"/>
                <w:caps w:val="0"/>
                <w:color w:val="000000"/>
                <w:spacing w:val="0"/>
                <w:sz w:val="18"/>
                <w:szCs w:val="18"/>
                <w:shd w:val="clear" w:fill="FFFFFF"/>
              </w:rPr>
              <w:t>PRESTAÇÃO DE SERVIÇO DE SEGURO AUTOMOTIVO</w:t>
            </w:r>
            <w:r>
              <w:rPr>
                <w:rFonts w:hint="default" w:ascii="Book Antiqua" w:hAnsi="Book Antiqua" w:eastAsia="SimSun" w:cs="Book Antiqua"/>
                <w:i w:val="0"/>
                <w:iCs w:val="0"/>
                <w:caps w:val="0"/>
                <w:color w:val="000000"/>
                <w:spacing w:val="0"/>
                <w:sz w:val="18"/>
                <w:szCs w:val="18"/>
                <w:shd w:val="clear" w:fill="FFFFFF"/>
                <w:lang w:val="pt-BR"/>
              </w:rPr>
              <w:t xml:space="preserve"> ...</w:t>
            </w:r>
          </w:p>
        </w:tc>
        <w:tc>
          <w:tcPr>
            <w:tcW w:w="1985" w:type="dxa"/>
            <w:tcBorders>
              <w:top w:val="single" w:color="000000" w:sz="4" w:space="0"/>
              <w:left w:val="single" w:color="000000" w:sz="4" w:space="0"/>
              <w:bottom w:val="single" w:color="000000" w:sz="4" w:space="0"/>
              <w:right w:val="single" w:color="000000" w:sz="4" w:space="0"/>
            </w:tcBorders>
            <w:shd w:val="clear" w:color="auto" w:fill="FFFFFF"/>
          </w:tcPr>
          <w:p>
            <w:pPr>
              <w:widowControl w:val="0"/>
              <w:jc w:val="right"/>
              <w:rPr>
                <w:rFonts w:ascii="Book Antiqua" w:hAnsi="Book Antiqua" w:eastAsia="Arial" w:cs="Book Antiqua"/>
                <w:b/>
                <w:color w:val="000000"/>
                <w:sz w:val="20"/>
                <w:szCs w:val="20"/>
                <w:lang w:eastAsia="en-US"/>
              </w:rPr>
            </w:pPr>
          </w:p>
        </w:tc>
      </w:tr>
      <w:tr>
        <w:tblPrEx>
          <w:tblCellMar>
            <w:top w:w="0" w:type="dxa"/>
            <w:left w:w="70" w:type="dxa"/>
            <w:bottom w:w="0" w:type="dxa"/>
            <w:right w:w="70" w:type="dxa"/>
          </w:tblCellMar>
        </w:tblPrEx>
        <w:trPr>
          <w:trHeight w:val="23" w:hRule="atLeast"/>
          <w:jc w:val="center"/>
        </w:trPr>
        <w:tc>
          <w:tcPr>
            <w:tcW w:w="8125" w:type="dxa"/>
            <w:gridSpan w:val="4"/>
            <w:tcBorders>
              <w:top w:val="single" w:color="000000" w:sz="4" w:space="0"/>
              <w:left w:val="single" w:color="000000" w:sz="4" w:space="0"/>
              <w:bottom w:val="single" w:color="000000" w:sz="4" w:space="0"/>
              <w:right w:val="single" w:color="000000" w:sz="4" w:space="0"/>
            </w:tcBorders>
            <w:vAlign w:val="center"/>
          </w:tcPr>
          <w:p>
            <w:pPr>
              <w:widowControl w:val="0"/>
              <w:jc w:val="both"/>
              <w:rPr>
                <w:rFonts w:ascii="Book Antiqua" w:hAnsi="Book Antiqua" w:eastAsia="Arial" w:cs="Book Antiqua"/>
                <w:b/>
                <w:kern w:val="1"/>
                <w:sz w:val="20"/>
                <w:szCs w:val="20"/>
                <w:lang w:eastAsia="zh-CN" w:bidi="zh-CN"/>
              </w:rPr>
            </w:pPr>
            <w:r>
              <w:rPr>
                <w:rFonts w:ascii="Book Antiqua" w:hAnsi="Book Antiqua" w:eastAsia="Arial" w:cs="Book Antiqua"/>
                <w:b/>
                <w:kern w:val="1"/>
                <w:sz w:val="20"/>
                <w:szCs w:val="20"/>
                <w:lang w:eastAsia="zh-CN" w:bidi="zh-CN"/>
              </w:rPr>
              <w:t>VALOR TOTAL</w:t>
            </w:r>
          </w:p>
        </w:tc>
        <w:tc>
          <w:tcPr>
            <w:tcW w:w="1985" w:type="dxa"/>
            <w:tcBorders>
              <w:top w:val="single" w:color="000000" w:sz="4" w:space="0"/>
              <w:left w:val="single" w:color="000000" w:sz="4" w:space="0"/>
              <w:bottom w:val="single" w:color="000000" w:sz="4" w:space="0"/>
              <w:right w:val="single" w:color="000000" w:sz="4" w:space="0"/>
            </w:tcBorders>
            <w:vAlign w:val="center"/>
          </w:tcPr>
          <w:p>
            <w:pPr>
              <w:widowControl w:val="0"/>
              <w:jc w:val="center"/>
              <w:rPr>
                <w:rFonts w:ascii="Book Antiqua" w:hAnsi="Book Antiqua" w:eastAsia="Arial" w:cs="Book Antiqua"/>
                <w:b/>
                <w:kern w:val="1"/>
                <w:sz w:val="20"/>
                <w:szCs w:val="20"/>
                <w:lang w:eastAsia="zh-CN" w:bidi="zh-CN"/>
              </w:rPr>
            </w:pPr>
          </w:p>
        </w:tc>
      </w:tr>
    </w:tbl>
    <w:p>
      <w:pPr>
        <w:pStyle w:val="22"/>
        <w:rPr>
          <w:rFonts w:ascii="Book Antiqua" w:hAnsi="Book Antiqua" w:cs="Book Antiqua"/>
          <w:sz w:val="20"/>
          <w:szCs w:val="20"/>
        </w:rPr>
      </w:pPr>
    </w:p>
    <w:p>
      <w:pPr>
        <w:pStyle w:val="22"/>
        <w:snapToGrid w:val="0"/>
        <w:rPr>
          <w:rFonts w:ascii="Book Antiqua" w:hAnsi="Book Antiqua" w:cs="Book Antiqua"/>
          <w:sz w:val="18"/>
          <w:szCs w:val="18"/>
        </w:rPr>
      </w:pPr>
      <w:r>
        <w:rPr>
          <w:rFonts w:ascii="Book Antiqua" w:hAnsi="Book Antiqua" w:cs="Book Antiqua"/>
          <w:sz w:val="18"/>
          <w:szCs w:val="18"/>
        </w:rPr>
        <w:t>Razão Social: _____________________________________</w:t>
      </w:r>
    </w:p>
    <w:p>
      <w:pPr>
        <w:pStyle w:val="22"/>
        <w:snapToGrid w:val="0"/>
        <w:rPr>
          <w:rFonts w:ascii="Book Antiqua" w:hAnsi="Book Antiqua" w:cs="Book Antiqua"/>
          <w:sz w:val="18"/>
          <w:szCs w:val="18"/>
        </w:rPr>
      </w:pPr>
      <w:r>
        <w:rPr>
          <w:rFonts w:ascii="Book Antiqua" w:hAnsi="Book Antiqua" w:cs="Book Antiqua"/>
          <w:sz w:val="18"/>
          <w:szCs w:val="18"/>
        </w:rPr>
        <w:t>CNPJ/MF: _______________</w:t>
      </w:r>
    </w:p>
    <w:p>
      <w:pPr>
        <w:pStyle w:val="22"/>
        <w:snapToGrid w:val="0"/>
        <w:rPr>
          <w:rFonts w:ascii="Book Antiqua" w:hAnsi="Book Antiqua" w:cs="Book Antiqua"/>
          <w:sz w:val="18"/>
          <w:szCs w:val="18"/>
        </w:rPr>
      </w:pPr>
      <w:r>
        <w:rPr>
          <w:rFonts w:ascii="Book Antiqua" w:hAnsi="Book Antiqua" w:cs="Book Antiqua"/>
          <w:sz w:val="18"/>
          <w:szCs w:val="18"/>
        </w:rPr>
        <w:t>Endereço: __________________________________________</w:t>
      </w:r>
    </w:p>
    <w:p>
      <w:pPr>
        <w:pStyle w:val="22"/>
        <w:snapToGrid w:val="0"/>
        <w:rPr>
          <w:rFonts w:ascii="Book Antiqua" w:hAnsi="Book Antiqua" w:cs="Book Antiqua"/>
          <w:sz w:val="18"/>
          <w:szCs w:val="18"/>
        </w:rPr>
      </w:pPr>
      <w:r>
        <w:rPr>
          <w:rFonts w:ascii="Book Antiqua" w:hAnsi="Book Antiqua" w:cs="Book Antiqua"/>
          <w:sz w:val="18"/>
          <w:szCs w:val="18"/>
        </w:rPr>
        <w:t>Tel./Fax: e E-mail: _______________</w:t>
      </w:r>
    </w:p>
    <w:p>
      <w:pPr>
        <w:pStyle w:val="22"/>
        <w:snapToGrid w:val="0"/>
        <w:rPr>
          <w:rFonts w:ascii="Book Antiqua" w:hAnsi="Book Antiqua" w:cs="Book Antiqua"/>
          <w:sz w:val="18"/>
          <w:szCs w:val="18"/>
        </w:rPr>
      </w:pPr>
      <w:r>
        <w:rPr>
          <w:rFonts w:ascii="Book Antiqua" w:hAnsi="Book Antiqua" w:cs="Book Antiqua"/>
          <w:sz w:val="18"/>
          <w:szCs w:val="18"/>
        </w:rPr>
        <w:t>CEP: ____________________</w:t>
      </w:r>
    </w:p>
    <w:p>
      <w:pPr>
        <w:pStyle w:val="22"/>
        <w:snapToGrid w:val="0"/>
        <w:rPr>
          <w:rFonts w:ascii="Book Antiqua" w:hAnsi="Book Antiqua" w:cs="Book Antiqua"/>
          <w:sz w:val="18"/>
          <w:szCs w:val="18"/>
        </w:rPr>
      </w:pPr>
      <w:r>
        <w:rPr>
          <w:rFonts w:ascii="Book Antiqua" w:hAnsi="Book Antiqua" w:cs="Book Antiqua"/>
          <w:sz w:val="18"/>
          <w:szCs w:val="18"/>
        </w:rPr>
        <w:t>Cidade: __________________________ UF: __________</w:t>
      </w:r>
    </w:p>
    <w:p>
      <w:pPr>
        <w:pStyle w:val="22"/>
        <w:snapToGrid w:val="0"/>
        <w:rPr>
          <w:rFonts w:ascii="Book Antiqua" w:hAnsi="Book Antiqua" w:cs="Book Antiqua"/>
          <w:sz w:val="18"/>
          <w:szCs w:val="18"/>
        </w:rPr>
      </w:pPr>
      <w:r>
        <w:rPr>
          <w:rFonts w:ascii="Book Antiqua" w:hAnsi="Book Antiqua" w:cs="Book Antiqua"/>
          <w:sz w:val="18"/>
          <w:szCs w:val="18"/>
        </w:rPr>
        <w:t>Banco: ____________ Agência: _____________ c/c: ________________</w:t>
      </w:r>
    </w:p>
    <w:p>
      <w:pPr>
        <w:pStyle w:val="22"/>
        <w:snapToGrid w:val="0"/>
        <w:rPr>
          <w:rFonts w:ascii="Book Antiqua" w:hAnsi="Book Antiqua" w:cs="Book Antiqua"/>
          <w:sz w:val="18"/>
          <w:szCs w:val="18"/>
        </w:rPr>
      </w:pPr>
      <w:r>
        <w:rPr>
          <w:rFonts w:ascii="Book Antiqua" w:hAnsi="Book Antiqua" w:cs="Book Antiqua"/>
          <w:sz w:val="18"/>
          <w:szCs w:val="18"/>
        </w:rPr>
        <w:tab/>
      </w:r>
      <w:r>
        <w:rPr>
          <w:rFonts w:ascii="Book Antiqua" w:hAnsi="Book Antiqua" w:cs="Book Antiqua"/>
          <w:sz w:val="18"/>
          <w:szCs w:val="18"/>
        </w:rPr>
        <w:tab/>
      </w:r>
    </w:p>
    <w:p>
      <w:pPr>
        <w:pStyle w:val="22"/>
        <w:snapToGrid w:val="0"/>
        <w:rPr>
          <w:rFonts w:ascii="Book Antiqua" w:hAnsi="Book Antiqua" w:cs="Book Antiqua"/>
          <w:sz w:val="18"/>
          <w:szCs w:val="18"/>
        </w:rPr>
      </w:pPr>
      <w:r>
        <w:rPr>
          <w:rFonts w:ascii="Book Antiqua" w:hAnsi="Book Antiqua" w:cs="Book Antiqua"/>
          <w:sz w:val="18"/>
          <w:szCs w:val="18"/>
        </w:rPr>
        <w:t>Dados do Representante Legal da Empresa para assinatura do Contrato:</w:t>
      </w:r>
    </w:p>
    <w:p>
      <w:pPr>
        <w:pStyle w:val="22"/>
        <w:snapToGrid w:val="0"/>
        <w:rPr>
          <w:rFonts w:ascii="Book Antiqua" w:hAnsi="Book Antiqua" w:cs="Book Antiqua"/>
          <w:sz w:val="18"/>
          <w:szCs w:val="18"/>
        </w:rPr>
      </w:pPr>
      <w:r>
        <w:rPr>
          <w:rFonts w:ascii="Book Antiqua" w:hAnsi="Book Antiqua" w:cs="Book Antiqua"/>
          <w:sz w:val="18"/>
          <w:szCs w:val="18"/>
        </w:rPr>
        <w:t>Nome:________________________________________________________</w:t>
      </w:r>
    </w:p>
    <w:p>
      <w:pPr>
        <w:pStyle w:val="22"/>
        <w:snapToGrid w:val="0"/>
        <w:rPr>
          <w:rFonts w:ascii="Book Antiqua" w:hAnsi="Book Antiqua" w:cs="Book Antiqua"/>
          <w:sz w:val="18"/>
          <w:szCs w:val="18"/>
        </w:rPr>
      </w:pPr>
      <w:r>
        <w:rPr>
          <w:rFonts w:ascii="Book Antiqua" w:hAnsi="Book Antiqua" w:cs="Book Antiqua"/>
          <w:sz w:val="18"/>
          <w:szCs w:val="18"/>
        </w:rPr>
        <w:t>Endereço:_____________________________________________________</w:t>
      </w:r>
    </w:p>
    <w:p>
      <w:pPr>
        <w:pStyle w:val="22"/>
        <w:snapToGrid w:val="0"/>
        <w:rPr>
          <w:rFonts w:ascii="Book Antiqua" w:hAnsi="Book Antiqua" w:cs="Book Antiqua"/>
          <w:sz w:val="18"/>
          <w:szCs w:val="18"/>
        </w:rPr>
      </w:pPr>
      <w:r>
        <w:rPr>
          <w:rFonts w:ascii="Book Antiqua" w:hAnsi="Book Antiqua" w:cs="Book Antiqua"/>
          <w:sz w:val="18"/>
          <w:szCs w:val="18"/>
        </w:rPr>
        <w:t>CEP:_________________Cidade:____</w:t>
      </w:r>
      <w:r>
        <w:rPr>
          <w:rFonts w:ascii="Book Antiqua" w:hAnsi="Book Antiqua" w:cs="Book Antiqua"/>
          <w:sz w:val="18"/>
          <w:szCs w:val="18"/>
        </w:rPr>
        <w:softHyphen/>
      </w:r>
      <w:r>
        <w:rPr>
          <w:rFonts w:ascii="Book Antiqua" w:hAnsi="Book Antiqua" w:cs="Book Antiqua"/>
          <w:sz w:val="18"/>
          <w:szCs w:val="18"/>
        </w:rPr>
        <w:t>____________________UF:_______</w:t>
      </w:r>
    </w:p>
    <w:p>
      <w:pPr>
        <w:pStyle w:val="22"/>
        <w:snapToGrid w:val="0"/>
        <w:rPr>
          <w:rFonts w:ascii="Book Antiqua" w:hAnsi="Book Antiqua" w:cs="Book Antiqua"/>
          <w:sz w:val="18"/>
          <w:szCs w:val="18"/>
        </w:rPr>
      </w:pPr>
      <w:r>
        <w:rPr>
          <w:rFonts w:ascii="Book Antiqua" w:hAnsi="Book Antiqua" w:cs="Book Antiqua"/>
          <w:sz w:val="18"/>
          <w:szCs w:val="18"/>
        </w:rPr>
        <w:t>CPF/MF:________________________Cargo/Função:__________________</w:t>
      </w:r>
    </w:p>
    <w:p>
      <w:pPr>
        <w:pStyle w:val="22"/>
        <w:snapToGrid w:val="0"/>
        <w:rPr>
          <w:rFonts w:ascii="Book Antiqua" w:hAnsi="Book Antiqua" w:cs="Book Antiqua"/>
          <w:sz w:val="18"/>
          <w:szCs w:val="18"/>
        </w:rPr>
      </w:pPr>
      <w:r>
        <w:rPr>
          <w:rFonts w:ascii="Book Antiqua" w:hAnsi="Book Antiqua" w:cs="Book Antiqua"/>
          <w:sz w:val="18"/>
          <w:szCs w:val="18"/>
        </w:rPr>
        <w:t>RG nº.:___________________________Expedido por: ____________</w:t>
      </w:r>
    </w:p>
    <w:p>
      <w:pPr>
        <w:pStyle w:val="22"/>
        <w:snapToGrid w:val="0"/>
        <w:rPr>
          <w:rFonts w:ascii="Book Antiqua" w:hAnsi="Book Antiqua" w:cs="Book Antiqua"/>
          <w:sz w:val="18"/>
          <w:szCs w:val="18"/>
        </w:rPr>
      </w:pPr>
      <w:r>
        <w:rPr>
          <w:rFonts w:ascii="Book Antiqua" w:hAnsi="Book Antiqua" w:cs="Book Antiqua"/>
          <w:sz w:val="18"/>
          <w:szCs w:val="18"/>
        </w:rPr>
        <w:t>Naturalidade: ____________________Nacionalidade: ___________________</w:t>
      </w:r>
    </w:p>
    <w:p>
      <w:pPr>
        <w:pStyle w:val="22"/>
        <w:snapToGrid w:val="0"/>
        <w:rPr>
          <w:rFonts w:ascii="Book Antiqua" w:hAnsi="Book Antiqua" w:cs="Book Antiqua"/>
          <w:sz w:val="20"/>
          <w:szCs w:val="20"/>
          <w:u w:val="single"/>
        </w:rPr>
      </w:pPr>
    </w:p>
    <w:p>
      <w:pPr>
        <w:pStyle w:val="22"/>
        <w:snapToGrid w:val="0"/>
        <w:rPr>
          <w:rFonts w:ascii="Book Antiqua" w:hAnsi="Book Antiqua" w:cs="Book Antiqua"/>
          <w:sz w:val="20"/>
          <w:szCs w:val="20"/>
        </w:rPr>
      </w:pPr>
      <w:r>
        <w:rPr>
          <w:rFonts w:ascii="Book Antiqua" w:hAnsi="Book Antiqua" w:cs="Book Antiqua"/>
          <w:sz w:val="20"/>
          <w:szCs w:val="20"/>
          <w:u w:val="single"/>
        </w:rPr>
        <w:t>OBSERVAÇÕES</w:t>
      </w:r>
      <w:r>
        <w:rPr>
          <w:rFonts w:ascii="Book Antiqua" w:hAnsi="Book Antiqua" w:cs="Book Antiqua"/>
          <w:sz w:val="20"/>
          <w:szCs w:val="20"/>
        </w:rPr>
        <w:t xml:space="preserve">: </w:t>
      </w:r>
    </w:p>
    <w:p>
      <w:pPr>
        <w:numPr>
          <w:ilvl w:val="0"/>
          <w:numId w:val="15"/>
        </w:numPr>
        <w:snapToGrid w:val="0"/>
        <w:ind w:left="0" w:firstLine="0"/>
        <w:rPr>
          <w:rFonts w:ascii="Book Antiqua" w:hAnsi="Book Antiqua" w:cs="Book Antiqua"/>
          <w:bCs/>
          <w:sz w:val="20"/>
          <w:szCs w:val="20"/>
        </w:rPr>
      </w:pPr>
      <w:r>
        <w:rPr>
          <w:rFonts w:ascii="Book Antiqua" w:hAnsi="Book Antiqua" w:cs="Book Antiqua"/>
          <w:bCs/>
          <w:sz w:val="20"/>
          <w:szCs w:val="20"/>
        </w:rPr>
        <w:t>Apresentar este documento em papel timbrado da empresa licitante e/ou com carimbo de CNPJ.</w:t>
      </w:r>
    </w:p>
    <w:p>
      <w:pPr>
        <w:numPr>
          <w:ilvl w:val="0"/>
          <w:numId w:val="15"/>
        </w:numPr>
        <w:snapToGrid w:val="0"/>
        <w:ind w:left="0" w:firstLine="0"/>
        <w:jc w:val="both"/>
        <w:rPr>
          <w:rFonts w:ascii="Book Antiqua" w:hAnsi="Book Antiqua" w:cs="Book Antiqua"/>
          <w:bCs/>
          <w:sz w:val="20"/>
          <w:szCs w:val="20"/>
        </w:rPr>
      </w:pPr>
      <w:r>
        <w:rPr>
          <w:rFonts w:ascii="Book Antiqua" w:hAnsi="Book Antiqua" w:cs="Book Antiqua"/>
          <w:sz w:val="20"/>
          <w:szCs w:val="20"/>
        </w:rPr>
        <w:t>Apresentar os dados evitando-se abreviaturas ou iniciais.</w:t>
      </w:r>
    </w:p>
    <w:p>
      <w:pPr>
        <w:numPr>
          <w:ilvl w:val="0"/>
          <w:numId w:val="15"/>
        </w:numPr>
        <w:snapToGrid w:val="0"/>
        <w:ind w:left="0" w:firstLine="0"/>
        <w:jc w:val="both"/>
        <w:rPr>
          <w:rFonts w:ascii="Book Antiqua" w:hAnsi="Book Antiqua" w:cs="Book Antiqua"/>
          <w:sz w:val="20"/>
          <w:szCs w:val="20"/>
        </w:rPr>
      </w:pPr>
      <w:r>
        <w:rPr>
          <w:rFonts w:ascii="Book Antiqua" w:hAnsi="Book Antiqua" w:cs="Book Antiqua"/>
          <w:sz w:val="20"/>
          <w:szCs w:val="20"/>
        </w:rPr>
        <w:t>Apresentar este documento após a fase de lances (no envio via sistema, via email e no original da Proposta Comercial), em papel timbrado da Empresa LICITANTE.</w:t>
      </w:r>
    </w:p>
    <w:p>
      <w:pPr>
        <w:numPr>
          <w:ilvl w:val="0"/>
          <w:numId w:val="15"/>
        </w:numPr>
        <w:snapToGrid w:val="0"/>
        <w:ind w:left="0" w:firstLine="0"/>
        <w:jc w:val="both"/>
        <w:rPr>
          <w:rFonts w:ascii="Book Antiqua" w:hAnsi="Book Antiqua" w:cs="Book Antiqua"/>
          <w:sz w:val="20"/>
          <w:szCs w:val="20"/>
        </w:rPr>
      </w:pPr>
      <w:r>
        <w:rPr>
          <w:rFonts w:ascii="Book Antiqua" w:hAnsi="Book Antiqua" w:cs="Book Antiqua"/>
          <w:bCs/>
          <w:sz w:val="20"/>
          <w:szCs w:val="20"/>
        </w:rPr>
        <w:t>Observar fielmente o descrito neste Edital para fins de elaboração deste documento, especialmente o preconizado no Termo de Referência – DA PROPOSTA DE PREÇOS.</w:t>
      </w:r>
    </w:p>
    <w:p>
      <w:pPr>
        <w:pStyle w:val="83"/>
        <w:widowControl w:val="0"/>
        <w:tabs>
          <w:tab w:val="left" w:pos="0"/>
          <w:tab w:val="left" w:pos="142"/>
          <w:tab w:val="left" w:pos="851"/>
        </w:tabs>
        <w:snapToGrid w:val="0"/>
        <w:ind w:left="0"/>
        <w:contextualSpacing w:val="0"/>
        <w:jc w:val="both"/>
        <w:rPr>
          <w:rFonts w:ascii="Book Antiqua" w:hAnsi="Book Antiqua" w:cs="Book Antiqua"/>
          <w:b/>
          <w:color w:val="FF0000"/>
          <w:sz w:val="20"/>
          <w:szCs w:val="20"/>
          <w:highlight w:val="yellow"/>
        </w:rPr>
      </w:pPr>
      <w:r>
        <w:rPr>
          <w:rFonts w:ascii="Book Antiqua" w:hAnsi="Book Antiqua" w:cs="Book Antiqua"/>
          <w:bCs/>
          <w:sz w:val="20"/>
          <w:szCs w:val="20"/>
        </w:rPr>
        <w:t xml:space="preserve">A falta deste documento causa a </w:t>
      </w:r>
      <w:r>
        <w:rPr>
          <w:rFonts w:ascii="Book Antiqua" w:hAnsi="Book Antiqua" w:cs="Book Antiqua"/>
          <w:bCs/>
          <w:sz w:val="20"/>
          <w:szCs w:val="20"/>
          <w:u w:val="single"/>
        </w:rPr>
        <w:t>DESCLASSIFICAÇÃO</w:t>
      </w:r>
      <w:r>
        <w:rPr>
          <w:rFonts w:ascii="Book Antiqua" w:hAnsi="Book Antiqua" w:cs="Book Antiqua"/>
          <w:bCs/>
          <w:sz w:val="20"/>
          <w:szCs w:val="20"/>
        </w:rPr>
        <w:t xml:space="preserve"> da licitante.</w:t>
      </w:r>
    </w:p>
    <w:p>
      <w:pPr>
        <w:widowControl w:val="0"/>
        <w:pBdr>
          <w:top w:val="single" w:color="auto" w:sz="4" w:space="0"/>
          <w:left w:val="single" w:color="auto" w:sz="4" w:space="4"/>
          <w:bottom w:val="single" w:color="auto" w:sz="4" w:space="1"/>
          <w:right w:val="single" w:color="auto" w:sz="4" w:space="4"/>
        </w:pBdr>
        <w:shd w:val="clear" w:color="auto" w:fill="CCCCCC"/>
        <w:autoSpaceDE w:val="0"/>
        <w:autoSpaceDN w:val="0"/>
        <w:adjustRightInd w:val="0"/>
        <w:spacing w:after="120"/>
        <w:jc w:val="center"/>
        <w:rPr>
          <w:rFonts w:ascii="Book Antiqua" w:hAnsi="Book Antiqua"/>
          <w:b/>
          <w:bCs/>
          <w:color w:val="0000FF"/>
          <w:sz w:val="24"/>
        </w:rPr>
      </w:pPr>
      <w:r>
        <w:rPr>
          <w:rFonts w:ascii="Book Antiqua" w:hAnsi="Book Antiqua"/>
          <w:b/>
          <w:color w:val="0000FF"/>
          <w:sz w:val="24"/>
        </w:rPr>
        <w:t xml:space="preserve">PREGÃO ELETRÔNICO Nº. </w:t>
      </w:r>
      <w:r>
        <w:rPr>
          <w:rFonts w:hint="default" w:ascii="Book Antiqua" w:hAnsi="Book Antiqua"/>
          <w:b/>
          <w:color w:val="0000FF"/>
          <w:sz w:val="24"/>
          <w:lang w:val="pt-BR"/>
        </w:rPr>
        <w:t>168</w:t>
      </w:r>
      <w:r>
        <w:rPr>
          <w:rFonts w:ascii="Book Antiqua" w:hAnsi="Book Antiqua"/>
          <w:b/>
          <w:color w:val="0000FF"/>
          <w:sz w:val="24"/>
        </w:rPr>
        <w:t>/202</w:t>
      </w:r>
      <w:r>
        <w:rPr>
          <w:rFonts w:hint="default" w:ascii="Book Antiqua" w:hAnsi="Book Antiqua"/>
          <w:b/>
          <w:color w:val="0000FF"/>
          <w:sz w:val="24"/>
          <w:lang w:val="pt-BR"/>
        </w:rPr>
        <w:t>1</w:t>
      </w:r>
      <w:r>
        <w:rPr>
          <w:rFonts w:ascii="Book Antiqua" w:hAnsi="Book Antiqua"/>
          <w:b/>
          <w:color w:val="0000FF"/>
          <w:sz w:val="24"/>
        </w:rPr>
        <w:t>/PREGÃO/SML/PMA</w:t>
      </w:r>
    </w:p>
    <w:p>
      <w:pPr>
        <w:widowControl w:val="0"/>
        <w:tabs>
          <w:tab w:val="left" w:pos="1134"/>
        </w:tabs>
        <w:spacing w:after="120"/>
        <w:ind w:left="4536"/>
        <w:jc w:val="both"/>
      </w:pPr>
    </w:p>
    <w:p>
      <w:pPr>
        <w:pStyle w:val="2"/>
        <w:keepNext w:val="0"/>
        <w:widowControl w:val="0"/>
        <w:spacing w:after="120"/>
        <w:jc w:val="center"/>
        <w:rPr>
          <w:rFonts w:ascii="Book Antiqua" w:hAnsi="Book Antiqua"/>
          <w:i w:val="0"/>
          <w:iCs/>
          <w:sz w:val="24"/>
          <w:szCs w:val="24"/>
        </w:rPr>
      </w:pPr>
      <w:r>
        <w:rPr>
          <w:rFonts w:ascii="Book Antiqua" w:hAnsi="Book Antiqua"/>
          <w:i w:val="0"/>
          <w:iCs/>
          <w:sz w:val="24"/>
          <w:szCs w:val="24"/>
          <w:highlight w:val="yellow"/>
        </w:rPr>
        <w:t>ANEXO III - DO EDITAL</w:t>
      </w:r>
    </w:p>
    <w:p>
      <w:pPr>
        <w:ind w:right="-567"/>
        <w:jc w:val="center"/>
        <w:rPr>
          <w:rFonts w:ascii="Book Antiqua" w:hAnsi="Book Antiqua"/>
          <w:b/>
          <w:szCs w:val="24"/>
        </w:rPr>
      </w:pPr>
      <w:r>
        <w:rPr>
          <w:rFonts w:ascii="Book Antiqua" w:hAnsi="Book Antiqua"/>
          <w:b/>
          <w:szCs w:val="24"/>
          <w:highlight w:val="yellow"/>
        </w:rPr>
        <w:t>DECLARAÇÃO DE AUTENTICIDADE</w:t>
      </w:r>
    </w:p>
    <w:p>
      <w:pPr>
        <w:ind w:right="-567"/>
        <w:jc w:val="both"/>
        <w:rPr>
          <w:rFonts w:ascii="Book Antiqua" w:hAnsi="Book Antiqua"/>
        </w:rPr>
      </w:pPr>
    </w:p>
    <w:p>
      <w:pPr>
        <w:jc w:val="both"/>
        <w:rPr>
          <w:rFonts w:ascii="Book Antiqua" w:hAnsi="Book Antiqua"/>
        </w:rPr>
      </w:pPr>
    </w:p>
    <w:p>
      <w:pPr>
        <w:jc w:val="both"/>
        <w:rPr>
          <w:rFonts w:ascii="Book Antiqua" w:hAnsi="Book Antiqua"/>
        </w:rPr>
      </w:pPr>
      <w:r>
        <w:rPr>
          <w:rFonts w:ascii="Book Antiqua" w:hAnsi="Book Antiqua"/>
        </w:rPr>
        <w:t>À</w:t>
      </w:r>
    </w:p>
    <w:p>
      <w:pPr>
        <w:jc w:val="both"/>
        <w:rPr>
          <w:rFonts w:ascii="Book Antiqua" w:hAnsi="Book Antiqua"/>
        </w:rPr>
      </w:pPr>
      <w:r>
        <w:rPr>
          <w:rFonts w:ascii="Book Antiqua" w:hAnsi="Book Antiqua"/>
        </w:rPr>
        <w:t>SUPERINTENDÊNCIA MUNICIPAL DE LICITAÇÃO–SML/PMA</w:t>
      </w:r>
    </w:p>
    <w:p>
      <w:pPr>
        <w:jc w:val="both"/>
        <w:rPr>
          <w:rFonts w:ascii="Book Antiqua" w:hAnsi="Book Antiqua"/>
        </w:rPr>
      </w:pPr>
      <w:r>
        <w:rPr>
          <w:rFonts w:ascii="Book Antiqua" w:hAnsi="Book Antiqua"/>
        </w:rPr>
        <w:t xml:space="preserve">   </w:t>
      </w:r>
    </w:p>
    <w:p>
      <w:pPr>
        <w:pStyle w:val="32"/>
        <w:jc w:val="both"/>
        <w:rPr>
          <w:rFonts w:ascii="Book Antiqua" w:hAnsi="Book Antiqua"/>
          <w:b w:val="0"/>
          <w:sz w:val="22"/>
        </w:rPr>
      </w:pPr>
    </w:p>
    <w:p>
      <w:pPr>
        <w:pStyle w:val="32"/>
        <w:jc w:val="both"/>
        <w:rPr>
          <w:rFonts w:ascii="Book Antiqua" w:hAnsi="Book Antiqua"/>
          <w:b w:val="0"/>
          <w:sz w:val="22"/>
        </w:rPr>
      </w:pPr>
    </w:p>
    <w:p>
      <w:pPr>
        <w:ind w:left="1276"/>
        <w:jc w:val="both"/>
        <w:rPr>
          <w:rFonts w:ascii="Book Antiqua" w:hAnsi="Book Antiqua"/>
        </w:rPr>
      </w:pPr>
    </w:p>
    <w:p>
      <w:pPr>
        <w:numPr>
          <w:ilvl w:val="0"/>
          <w:numId w:val="16"/>
        </w:numPr>
        <w:spacing w:line="360" w:lineRule="auto"/>
        <w:ind w:right="28"/>
        <w:jc w:val="both"/>
        <w:rPr>
          <w:rFonts w:ascii="Book Antiqua" w:hAnsi="Book Antiqua"/>
        </w:rPr>
      </w:pPr>
      <w:r>
        <w:rPr>
          <w:rFonts w:ascii="Book Antiqua" w:hAnsi="Book Antiqua"/>
        </w:rPr>
        <w:t xml:space="preserve">A empresa ................................, devidamente inscrita no CNPJ sob o n.º .........., localizada na rua....., n.º ......., na cidade de .........., do estado de ..........., DECLARA que os documentos apresentados para o certame denominado </w:t>
      </w:r>
      <w:r>
        <w:rPr>
          <w:rFonts w:ascii="Book Antiqua" w:hAnsi="Book Antiqua"/>
          <w:b/>
          <w:bCs/>
          <w:highlight w:val="yellow"/>
        </w:rPr>
        <w:t xml:space="preserve">Pregão Eletrônico nº </w:t>
      </w:r>
      <w:r>
        <w:rPr>
          <w:rFonts w:hint="default" w:ascii="Book Antiqua" w:hAnsi="Book Antiqua"/>
          <w:b/>
          <w:bCs/>
          <w:highlight w:val="yellow"/>
          <w:lang w:val="pt-BR"/>
        </w:rPr>
        <w:t>168</w:t>
      </w:r>
      <w:r>
        <w:rPr>
          <w:rFonts w:ascii="Book Antiqua" w:hAnsi="Book Antiqua"/>
          <w:b/>
          <w:bCs/>
          <w:highlight w:val="yellow"/>
        </w:rPr>
        <w:t>/2021/PREGÃO/SML/PMA</w:t>
      </w:r>
      <w:r>
        <w:rPr>
          <w:rFonts w:ascii="Book Antiqua" w:hAnsi="Book Antiqua"/>
        </w:rPr>
        <w:t>, são autênticos.</w:t>
      </w:r>
    </w:p>
    <w:p>
      <w:pPr>
        <w:spacing w:line="360" w:lineRule="auto"/>
        <w:jc w:val="both"/>
        <w:rPr>
          <w:rFonts w:ascii="Book Antiqua" w:hAnsi="Book Antiqua"/>
        </w:rPr>
      </w:pPr>
    </w:p>
    <w:p>
      <w:pPr>
        <w:jc w:val="right"/>
        <w:rPr>
          <w:rFonts w:ascii="Book Antiqua" w:hAnsi="Book Antiqua"/>
          <w:lang w:val="it-IT"/>
        </w:rPr>
      </w:pPr>
    </w:p>
    <w:p>
      <w:pPr>
        <w:jc w:val="right"/>
        <w:rPr>
          <w:rFonts w:ascii="Book Antiqua" w:hAnsi="Book Antiqua"/>
          <w:lang w:val="it-IT"/>
        </w:rPr>
      </w:pPr>
    </w:p>
    <w:p>
      <w:pPr>
        <w:ind w:firstLine="1276"/>
        <w:jc w:val="right"/>
        <w:rPr>
          <w:rFonts w:ascii="Book Antiqua" w:hAnsi="Book Antiqua"/>
        </w:rPr>
      </w:pPr>
      <w:r>
        <w:rPr>
          <w:rFonts w:ascii="Book Antiqua" w:hAnsi="Book Antiqua"/>
        </w:rPr>
        <w:t>............................, em ____ de _______de 2021.</w:t>
      </w:r>
    </w:p>
    <w:p>
      <w:pPr>
        <w:ind w:left="567"/>
        <w:jc w:val="both"/>
        <w:rPr>
          <w:rFonts w:ascii="Book Antiqua" w:hAnsi="Book Antiqua"/>
        </w:rPr>
      </w:pPr>
    </w:p>
    <w:p>
      <w:pPr>
        <w:ind w:left="567"/>
        <w:jc w:val="both"/>
        <w:rPr>
          <w:rFonts w:ascii="Book Antiqua" w:hAnsi="Book Antiqua"/>
        </w:rPr>
      </w:pPr>
    </w:p>
    <w:p>
      <w:pPr>
        <w:ind w:left="567"/>
        <w:jc w:val="both"/>
        <w:rPr>
          <w:rFonts w:ascii="Book Antiqua" w:hAnsi="Book Antiqua"/>
        </w:rPr>
      </w:pPr>
    </w:p>
    <w:p>
      <w:pPr>
        <w:ind w:left="567"/>
        <w:jc w:val="both"/>
        <w:rPr>
          <w:rFonts w:ascii="Book Antiqua" w:hAnsi="Book Antiqua"/>
        </w:rPr>
      </w:pPr>
      <w:r>
        <w:rPr>
          <w:rFonts w:ascii="Book Antiqua" w:hAnsi="Book Antiqua"/>
        </w:rPr>
        <w:pict>
          <v:line id="_x0000_s1033" o:spid="_x0000_s1033" o:spt="20" style="position:absolute;left:0pt;margin-left:130.4pt;margin-top:12.55pt;height:0pt;width:244.8pt;z-index:251659264;mso-width-relative:page;mso-height-relative:page;" coordsize="21600,21600" o:allowincell="f">
            <v:path arrowok="t"/>
            <v:fill focussize="0,0"/>
            <v:stroke/>
            <v:imagedata o:title=""/>
            <o:lock v:ext="edit"/>
          </v:line>
        </w:pict>
      </w:r>
    </w:p>
    <w:p>
      <w:pPr>
        <w:jc w:val="center"/>
        <w:rPr>
          <w:rFonts w:ascii="Book Antiqua" w:hAnsi="Book Antiqua"/>
        </w:rPr>
      </w:pPr>
      <w:r>
        <w:rPr>
          <w:rFonts w:ascii="Book Antiqua" w:hAnsi="Book Antiqua"/>
        </w:rPr>
        <w:t xml:space="preserve">                     EMPRESA LICITANTE/CNPJ</w:t>
      </w:r>
    </w:p>
    <w:p>
      <w:pPr>
        <w:jc w:val="center"/>
        <w:rPr>
          <w:rFonts w:ascii="Book Antiqua" w:hAnsi="Book Antiqua"/>
        </w:rPr>
      </w:pPr>
    </w:p>
    <w:p>
      <w:pPr>
        <w:jc w:val="center"/>
        <w:rPr>
          <w:rFonts w:ascii="Book Antiqua" w:hAnsi="Book Antiqua"/>
        </w:rPr>
      </w:pPr>
    </w:p>
    <w:p>
      <w:pPr>
        <w:jc w:val="center"/>
        <w:rPr>
          <w:rFonts w:ascii="Book Antiqua" w:hAnsi="Book Antiqua"/>
        </w:rPr>
      </w:pPr>
    </w:p>
    <w:p>
      <w:pPr>
        <w:jc w:val="center"/>
      </w:pPr>
    </w:p>
    <w:p>
      <w:pPr>
        <w:jc w:val="center"/>
      </w:pPr>
    </w:p>
    <w:p>
      <w:pPr>
        <w:widowControl w:val="0"/>
        <w:tabs>
          <w:tab w:val="left" w:pos="1134"/>
        </w:tabs>
        <w:spacing w:after="120"/>
        <w:ind w:left="4536"/>
        <w:jc w:val="both"/>
      </w:pPr>
    </w:p>
    <w:p>
      <w:pPr>
        <w:widowControl w:val="0"/>
        <w:tabs>
          <w:tab w:val="left" w:pos="1134"/>
        </w:tabs>
        <w:spacing w:after="120"/>
        <w:ind w:left="4536"/>
        <w:jc w:val="both"/>
      </w:pPr>
    </w:p>
    <w:p>
      <w:pPr>
        <w:widowControl w:val="0"/>
        <w:tabs>
          <w:tab w:val="left" w:pos="1134"/>
        </w:tabs>
        <w:spacing w:after="120"/>
        <w:ind w:left="4536"/>
        <w:jc w:val="both"/>
      </w:pPr>
    </w:p>
    <w:p>
      <w:pPr>
        <w:widowControl w:val="0"/>
        <w:tabs>
          <w:tab w:val="left" w:pos="1134"/>
        </w:tabs>
        <w:spacing w:after="120"/>
        <w:ind w:left="4536"/>
        <w:jc w:val="both"/>
      </w:pPr>
    </w:p>
    <w:p>
      <w:pPr>
        <w:widowControl w:val="0"/>
        <w:tabs>
          <w:tab w:val="left" w:pos="1134"/>
        </w:tabs>
        <w:spacing w:after="120"/>
        <w:ind w:left="4536"/>
        <w:jc w:val="both"/>
      </w:pPr>
    </w:p>
    <w:p>
      <w:pPr>
        <w:widowControl w:val="0"/>
        <w:tabs>
          <w:tab w:val="left" w:pos="1134"/>
        </w:tabs>
        <w:spacing w:after="120"/>
        <w:ind w:left="4536"/>
        <w:jc w:val="both"/>
      </w:pPr>
    </w:p>
    <w:p>
      <w:pPr>
        <w:widowControl w:val="0"/>
        <w:tabs>
          <w:tab w:val="left" w:pos="1134"/>
        </w:tabs>
        <w:spacing w:after="120"/>
        <w:ind w:left="4536"/>
        <w:jc w:val="both"/>
      </w:pPr>
    </w:p>
    <w:p>
      <w:pPr>
        <w:widowControl w:val="0"/>
        <w:tabs>
          <w:tab w:val="left" w:pos="1134"/>
        </w:tabs>
        <w:spacing w:after="120"/>
        <w:ind w:left="4536"/>
        <w:jc w:val="both"/>
      </w:pPr>
    </w:p>
    <w:p>
      <w:pPr>
        <w:widowControl w:val="0"/>
        <w:tabs>
          <w:tab w:val="left" w:pos="1134"/>
        </w:tabs>
        <w:spacing w:after="120"/>
        <w:ind w:left="4536"/>
        <w:jc w:val="both"/>
      </w:pPr>
    </w:p>
    <w:p>
      <w:pPr>
        <w:widowControl w:val="0"/>
        <w:tabs>
          <w:tab w:val="left" w:pos="1134"/>
        </w:tabs>
        <w:spacing w:after="120"/>
        <w:ind w:left="4536"/>
        <w:jc w:val="both"/>
      </w:pPr>
    </w:p>
    <w:p>
      <w:pPr>
        <w:widowControl w:val="0"/>
        <w:tabs>
          <w:tab w:val="left" w:pos="1134"/>
        </w:tabs>
        <w:spacing w:after="120"/>
        <w:ind w:left="4536"/>
        <w:jc w:val="both"/>
      </w:pPr>
    </w:p>
    <w:p>
      <w:pPr>
        <w:widowControl w:val="0"/>
        <w:pBdr>
          <w:top w:val="single" w:color="auto" w:sz="4" w:space="0"/>
          <w:left w:val="single" w:color="auto" w:sz="4" w:space="4"/>
          <w:bottom w:val="single" w:color="auto" w:sz="4" w:space="1"/>
          <w:right w:val="single" w:color="auto" w:sz="4" w:space="4"/>
        </w:pBdr>
        <w:shd w:val="clear" w:color="auto" w:fill="CCCCCC"/>
        <w:autoSpaceDE w:val="0"/>
        <w:autoSpaceDN w:val="0"/>
        <w:adjustRightInd w:val="0"/>
        <w:spacing w:after="120"/>
        <w:jc w:val="center"/>
        <w:rPr>
          <w:rFonts w:ascii="Book Antiqua" w:hAnsi="Book Antiqua"/>
          <w:b/>
          <w:bCs/>
          <w:color w:val="0000FF"/>
          <w:sz w:val="24"/>
        </w:rPr>
      </w:pPr>
      <w:r>
        <w:rPr>
          <w:rFonts w:ascii="Book Antiqua" w:hAnsi="Book Antiqua"/>
          <w:b/>
          <w:color w:val="0000FF"/>
          <w:sz w:val="24"/>
        </w:rPr>
        <w:t xml:space="preserve">PREGÃO ELETRÔNICO Nº. </w:t>
      </w:r>
      <w:r>
        <w:rPr>
          <w:rFonts w:hint="default" w:ascii="Book Antiqua" w:hAnsi="Book Antiqua"/>
          <w:b/>
          <w:color w:val="0000FF"/>
          <w:sz w:val="24"/>
          <w:lang w:val="pt-BR"/>
        </w:rPr>
        <w:t>168</w:t>
      </w:r>
      <w:r>
        <w:rPr>
          <w:rFonts w:ascii="Book Antiqua" w:hAnsi="Book Antiqua"/>
          <w:b/>
          <w:color w:val="0000FF"/>
          <w:sz w:val="24"/>
        </w:rPr>
        <w:t>/2021/PREGÃO/SML/PMA</w:t>
      </w:r>
    </w:p>
    <w:p>
      <w:pPr>
        <w:widowControl w:val="0"/>
        <w:tabs>
          <w:tab w:val="left" w:pos="1134"/>
        </w:tabs>
        <w:spacing w:after="120"/>
        <w:ind w:left="4536"/>
        <w:jc w:val="both"/>
        <w:rPr>
          <w:rFonts w:ascii="Book Antiqua" w:hAnsi="Book Antiqua"/>
        </w:rPr>
      </w:pPr>
    </w:p>
    <w:p>
      <w:pPr>
        <w:pStyle w:val="2"/>
        <w:keepNext w:val="0"/>
        <w:widowControl w:val="0"/>
        <w:spacing w:after="120"/>
        <w:jc w:val="center"/>
        <w:rPr>
          <w:rFonts w:ascii="Book Antiqua" w:hAnsi="Book Antiqua"/>
          <w:i w:val="0"/>
          <w:iCs/>
          <w:sz w:val="24"/>
        </w:rPr>
      </w:pPr>
      <w:r>
        <w:rPr>
          <w:rFonts w:ascii="Book Antiqua" w:hAnsi="Book Antiqua"/>
          <w:i w:val="0"/>
          <w:iCs/>
          <w:sz w:val="24"/>
          <w:highlight w:val="yellow"/>
        </w:rPr>
        <w:t>ANEXO IV - DO EDITAL</w:t>
      </w:r>
    </w:p>
    <w:p>
      <w:pPr>
        <w:jc w:val="center"/>
        <w:rPr>
          <w:b/>
          <w:sz w:val="24"/>
          <w:szCs w:val="24"/>
          <w:u w:val="single"/>
        </w:rPr>
      </w:pPr>
    </w:p>
    <w:p>
      <w:pPr>
        <w:jc w:val="center"/>
        <w:rPr>
          <w:rFonts w:ascii="Book Antiqua" w:hAnsi="Book Antiqua"/>
          <w:b/>
          <w:sz w:val="24"/>
          <w:szCs w:val="24"/>
          <w:u w:val="single"/>
        </w:rPr>
      </w:pPr>
      <w:r>
        <w:rPr>
          <w:rFonts w:ascii="Book Antiqua" w:hAnsi="Book Antiqua"/>
          <w:b/>
          <w:sz w:val="24"/>
          <w:szCs w:val="24"/>
          <w:highlight w:val="yellow"/>
          <w:u w:val="single"/>
        </w:rPr>
        <w:t>MODELO DE DECLARAÇÃO DE SUSTENTABILIDADE AMBIENTAL</w:t>
      </w:r>
    </w:p>
    <w:p>
      <w:pPr>
        <w:jc w:val="center"/>
        <w:rPr>
          <w:rFonts w:ascii="Book Antiqua" w:hAnsi="Book Antiqua"/>
          <w:b/>
        </w:rPr>
      </w:pPr>
    </w:p>
    <w:p>
      <w:pPr>
        <w:rPr>
          <w:rFonts w:ascii="Book Antiqua" w:hAnsi="Book Antiqua"/>
        </w:rPr>
      </w:pPr>
    </w:p>
    <w:p>
      <w:pPr>
        <w:rPr>
          <w:rFonts w:ascii="Book Antiqua" w:hAnsi="Book Antiqua"/>
        </w:rPr>
      </w:pPr>
      <w:r>
        <w:rPr>
          <w:rFonts w:ascii="Book Antiqua" w:hAnsi="Book Antiqua"/>
        </w:rPr>
        <w:t>PROPONENTE:_________________________________________</w:t>
      </w:r>
    </w:p>
    <w:p>
      <w:pPr>
        <w:rPr>
          <w:rFonts w:ascii="Book Antiqua" w:hAnsi="Book Antiqua"/>
        </w:rPr>
      </w:pPr>
      <w:r>
        <w:rPr>
          <w:rFonts w:ascii="Book Antiqua" w:hAnsi="Book Antiqua"/>
        </w:rPr>
        <w:t>ENDEREÇO:___________________________________________</w:t>
      </w:r>
    </w:p>
    <w:p>
      <w:pPr>
        <w:rPr>
          <w:rFonts w:ascii="Book Antiqua" w:hAnsi="Book Antiqua"/>
        </w:rPr>
      </w:pPr>
      <w:r>
        <w:rPr>
          <w:rFonts w:ascii="Book Antiqua" w:hAnsi="Book Antiqua"/>
        </w:rPr>
        <w:t xml:space="preserve">CNPJ: ____________________ </w:t>
      </w:r>
    </w:p>
    <w:p>
      <w:pPr>
        <w:rPr>
          <w:rFonts w:ascii="Book Antiqua" w:hAnsi="Book Antiqua"/>
        </w:rPr>
      </w:pPr>
      <w:r>
        <w:rPr>
          <w:rFonts w:ascii="Book Antiqua" w:hAnsi="Book Antiqua"/>
        </w:rPr>
        <w:t>FONE/FAX: _______________________________</w:t>
      </w:r>
    </w:p>
    <w:p>
      <w:pPr>
        <w:rPr>
          <w:rFonts w:ascii="Book Antiqua" w:hAnsi="Book Antiqua"/>
        </w:rPr>
      </w:pPr>
    </w:p>
    <w:p>
      <w:pPr>
        <w:spacing w:line="360" w:lineRule="auto"/>
        <w:ind w:firstLine="709"/>
        <w:jc w:val="both"/>
        <w:rPr>
          <w:rFonts w:ascii="Book Antiqua" w:hAnsi="Book Antiqua"/>
        </w:rPr>
      </w:pPr>
      <w:r>
        <w:rPr>
          <w:rFonts w:ascii="Book Antiqua" w:hAnsi="Book Antiqua"/>
        </w:rPr>
        <w:t xml:space="preserve">Declaro, sob as penas da Lei nº 6.938/1981, na qualidade de proponente do procedimento licitatório, sob a modalidade Pregão Eletrônico nº </w:t>
      </w:r>
      <w:r>
        <w:rPr>
          <w:rFonts w:hint="default" w:ascii="Book Antiqua" w:hAnsi="Book Antiqua"/>
          <w:b/>
          <w:color w:val="FF0000"/>
          <w:lang w:val="pt-BR"/>
        </w:rPr>
        <w:t>168</w:t>
      </w:r>
      <w:r>
        <w:rPr>
          <w:rFonts w:ascii="Book Antiqua" w:hAnsi="Book Antiqua"/>
          <w:b/>
          <w:color w:val="FF0000"/>
        </w:rPr>
        <w:t>/2021/PREGÃO/SML/PMA</w:t>
      </w:r>
      <w:r>
        <w:rPr>
          <w:rFonts w:ascii="Book Antiqua" w:hAnsi="Book Antiqua"/>
        </w:rPr>
        <w:t xml:space="preserve">, instaurado pelo </w:t>
      </w:r>
      <w:r>
        <w:rPr>
          <w:rFonts w:ascii="Book Antiqua" w:hAnsi="Book Antiqua"/>
          <w:b/>
          <w:bCs/>
          <w:color w:val="FF0000"/>
        </w:rPr>
        <w:t xml:space="preserve">Processo de n.º </w:t>
      </w:r>
      <w:r>
        <w:rPr>
          <w:rFonts w:hint="default" w:ascii="Book Antiqua" w:hAnsi="Book Antiqua"/>
          <w:b/>
          <w:bCs/>
          <w:color w:val="FF0000"/>
          <w:lang w:val="pt-BR"/>
        </w:rPr>
        <w:t>2883</w:t>
      </w:r>
      <w:r>
        <w:rPr>
          <w:rFonts w:ascii="Book Antiqua" w:hAnsi="Book Antiqua"/>
          <w:b/>
          <w:bCs/>
          <w:color w:val="FF0000"/>
        </w:rPr>
        <w:t>/SEM</w:t>
      </w:r>
      <w:r>
        <w:rPr>
          <w:rFonts w:hint="default" w:ascii="Book Antiqua" w:hAnsi="Book Antiqua"/>
          <w:b/>
          <w:bCs/>
          <w:color w:val="FF0000"/>
          <w:lang w:val="pt-BR"/>
        </w:rPr>
        <w:t>DES</w:t>
      </w:r>
      <w:r>
        <w:rPr>
          <w:rFonts w:ascii="Book Antiqua" w:hAnsi="Book Antiqua"/>
          <w:b/>
          <w:bCs/>
          <w:color w:val="FF0000"/>
        </w:rPr>
        <w:t>/2021</w:t>
      </w:r>
      <w:r>
        <w:rPr>
          <w:rFonts w:ascii="Book Antiqua" w:hAnsi="Book Antiqua"/>
        </w:rPr>
        <w:t>, que atendemos aos critérios de qualidade ambiental e sustentabilidade socioambiental, respeitando as normas de proteção do meio ambiente.</w:t>
      </w:r>
    </w:p>
    <w:p>
      <w:pPr>
        <w:spacing w:line="360" w:lineRule="auto"/>
        <w:jc w:val="both"/>
        <w:rPr>
          <w:rFonts w:ascii="Book Antiqua" w:hAnsi="Book Antiqua"/>
        </w:rPr>
      </w:pPr>
      <w:r>
        <w:rPr>
          <w:rFonts w:ascii="Book Antiqua" w:hAnsi="Book Antiqua"/>
        </w:rPr>
        <w:t>Estou ciente da obrigatoriedade da apresentação das declarações e certidões pertinentes dos órgãos competentes quando solicitadas como requisito para habilitação e da obrigatoriedade do cumprimento integral ao que estabelece o art. 6º e seus incisos, da Instrução Normativa nº 01, de 19 de janeiro de 2010, do Ministério do Planejamento, Orçamento e Gestão –MPOG.</w:t>
      </w:r>
    </w:p>
    <w:p>
      <w:pPr>
        <w:spacing w:line="360" w:lineRule="auto"/>
        <w:jc w:val="both"/>
        <w:rPr>
          <w:rFonts w:ascii="Book Antiqua" w:hAnsi="Book Antiqua"/>
        </w:rPr>
      </w:pPr>
      <w:r>
        <w:rPr>
          <w:rFonts w:ascii="Book Antiqua" w:hAnsi="Book Antiqua"/>
        </w:rPr>
        <w:t>Estou ciente da obrigatoriedade da apresentação do registro no Cadastro Técnico Federal de Atividades Potencialmente Poluidoras ou Utilizadoras de Recursos Ambientais caso minha empresa exerça uma das atividades constantes no Anexo I da Instrução Normativa nº 6, de 15 de março de 2013, do IBAMA.</w:t>
      </w:r>
    </w:p>
    <w:p>
      <w:pPr>
        <w:spacing w:line="360" w:lineRule="auto"/>
        <w:jc w:val="both"/>
        <w:rPr>
          <w:rFonts w:ascii="Book Antiqua" w:hAnsi="Book Antiqua"/>
        </w:rPr>
      </w:pPr>
      <w:r>
        <w:rPr>
          <w:rFonts w:ascii="Book Antiqua" w:hAnsi="Book Antiqua"/>
        </w:rPr>
        <w:t>Por ser a expressão da verdade, firmamos a presente.</w:t>
      </w:r>
    </w:p>
    <w:p>
      <w:pPr>
        <w:tabs>
          <w:tab w:val="right" w:pos="8505"/>
        </w:tabs>
        <w:rPr>
          <w:rFonts w:ascii="Book Antiqua" w:hAnsi="Book Antiqua"/>
        </w:rPr>
      </w:pPr>
    </w:p>
    <w:p>
      <w:pPr>
        <w:tabs>
          <w:tab w:val="right" w:pos="8505"/>
        </w:tabs>
        <w:jc w:val="right"/>
        <w:rPr>
          <w:rFonts w:ascii="Book Antiqua" w:hAnsi="Book Antiqua"/>
        </w:rPr>
      </w:pPr>
      <w:r>
        <w:rPr>
          <w:rFonts w:ascii="Book Antiqua" w:hAnsi="Book Antiqua"/>
        </w:rPr>
        <w:t>______________ de __________________ de 2021.</w:t>
      </w:r>
    </w:p>
    <w:p>
      <w:pPr>
        <w:jc w:val="center"/>
        <w:rPr>
          <w:rFonts w:ascii="Book Antiqua" w:hAnsi="Book Antiqua"/>
        </w:rPr>
      </w:pPr>
    </w:p>
    <w:p>
      <w:pPr>
        <w:jc w:val="center"/>
        <w:rPr>
          <w:rFonts w:ascii="Book Antiqua" w:hAnsi="Book Antiqua"/>
        </w:rPr>
      </w:pPr>
    </w:p>
    <w:p>
      <w:pPr>
        <w:jc w:val="center"/>
        <w:rPr>
          <w:rFonts w:ascii="Book Antiqua" w:hAnsi="Book Antiqua"/>
        </w:rPr>
      </w:pPr>
      <w:r>
        <w:rPr>
          <w:rFonts w:ascii="Book Antiqua" w:hAnsi="Book Antiqua"/>
        </w:rPr>
        <w:t>______________________________________________</w:t>
      </w:r>
    </w:p>
    <w:p>
      <w:pPr>
        <w:jc w:val="center"/>
        <w:rPr>
          <w:rFonts w:ascii="Book Antiqua" w:hAnsi="Book Antiqua"/>
          <w:sz w:val="20"/>
        </w:rPr>
      </w:pPr>
      <w:r>
        <w:rPr>
          <w:rFonts w:ascii="Book Antiqua" w:hAnsi="Book Antiqua"/>
          <w:sz w:val="20"/>
        </w:rPr>
        <w:t>Nome:</w:t>
      </w:r>
    </w:p>
    <w:p>
      <w:pPr>
        <w:jc w:val="center"/>
        <w:rPr>
          <w:rFonts w:ascii="Book Antiqua" w:hAnsi="Book Antiqua"/>
          <w:sz w:val="20"/>
        </w:rPr>
      </w:pPr>
      <w:r>
        <w:rPr>
          <w:rFonts w:ascii="Book Antiqua" w:hAnsi="Book Antiqua"/>
          <w:sz w:val="20"/>
        </w:rPr>
        <w:t>RG/CPF:</w:t>
      </w:r>
    </w:p>
    <w:p>
      <w:pPr>
        <w:jc w:val="center"/>
        <w:rPr>
          <w:rFonts w:ascii="Book Antiqua" w:hAnsi="Book Antiqua" w:cs="Arial"/>
          <w:szCs w:val="24"/>
        </w:rPr>
      </w:pPr>
      <w:r>
        <w:rPr>
          <w:rFonts w:ascii="Book Antiqua" w:hAnsi="Book Antiqua"/>
          <w:sz w:val="20"/>
        </w:rPr>
        <w:t>Cargo</w:t>
      </w:r>
    </w:p>
    <w:p>
      <w:pPr>
        <w:jc w:val="center"/>
        <w:rPr>
          <w:rFonts w:ascii="Book Antiqua" w:hAnsi="Book Antiqua" w:cs="Arial"/>
          <w:b/>
          <w:szCs w:val="24"/>
        </w:rPr>
      </w:pPr>
    </w:p>
    <w:p>
      <w:pPr>
        <w:jc w:val="center"/>
        <w:rPr>
          <w:rFonts w:ascii="Book Antiqua" w:hAnsi="Book Antiqua" w:cs="Arial"/>
          <w:b/>
          <w:szCs w:val="24"/>
        </w:rPr>
      </w:pPr>
    </w:p>
    <w:p>
      <w:pPr>
        <w:jc w:val="center"/>
        <w:rPr>
          <w:rFonts w:ascii="Book Antiqua" w:hAnsi="Book Antiqua" w:cs="Arial"/>
          <w:b/>
          <w:szCs w:val="24"/>
        </w:rPr>
      </w:pPr>
    </w:p>
    <w:p>
      <w:pPr>
        <w:jc w:val="center"/>
        <w:rPr>
          <w:rFonts w:ascii="Book Antiqua" w:hAnsi="Book Antiqua" w:cs="Arial"/>
          <w:b/>
          <w:szCs w:val="24"/>
        </w:rPr>
      </w:pPr>
    </w:p>
    <w:p>
      <w:pPr>
        <w:jc w:val="center"/>
        <w:rPr>
          <w:rFonts w:ascii="Book Antiqua" w:hAnsi="Book Antiqua" w:cs="Arial"/>
          <w:b/>
          <w:szCs w:val="24"/>
        </w:rPr>
      </w:pPr>
    </w:p>
    <w:p>
      <w:pPr>
        <w:jc w:val="center"/>
        <w:rPr>
          <w:rFonts w:ascii="Book Antiqua" w:hAnsi="Book Antiqua" w:cs="Arial"/>
          <w:b/>
          <w:szCs w:val="24"/>
        </w:rPr>
      </w:pPr>
    </w:p>
    <w:p>
      <w:pPr>
        <w:jc w:val="center"/>
        <w:rPr>
          <w:rFonts w:ascii="Book Antiqua" w:hAnsi="Book Antiqua" w:cs="Arial"/>
          <w:b/>
          <w:szCs w:val="24"/>
        </w:rPr>
      </w:pPr>
    </w:p>
    <w:p>
      <w:pPr>
        <w:widowControl w:val="0"/>
        <w:pBdr>
          <w:top w:val="single" w:color="auto" w:sz="4" w:space="0"/>
          <w:left w:val="single" w:color="auto" w:sz="4" w:space="4"/>
          <w:bottom w:val="single" w:color="auto" w:sz="4" w:space="1"/>
          <w:right w:val="single" w:color="auto" w:sz="4" w:space="4"/>
        </w:pBdr>
        <w:shd w:val="clear" w:color="auto" w:fill="CCCCCC"/>
        <w:autoSpaceDE w:val="0"/>
        <w:autoSpaceDN w:val="0"/>
        <w:adjustRightInd w:val="0"/>
        <w:spacing w:after="120"/>
        <w:jc w:val="center"/>
        <w:rPr>
          <w:rFonts w:ascii="Book Antiqua" w:hAnsi="Book Antiqua"/>
          <w:b/>
          <w:bCs/>
          <w:color w:val="0000FF"/>
          <w:sz w:val="24"/>
        </w:rPr>
      </w:pPr>
      <w:r>
        <w:rPr>
          <w:rFonts w:ascii="Book Antiqua" w:hAnsi="Book Antiqua"/>
          <w:b/>
          <w:color w:val="0000FF"/>
          <w:sz w:val="24"/>
        </w:rPr>
        <w:t xml:space="preserve">PREGÃO ELETRÔNICO Nº. </w:t>
      </w:r>
      <w:r>
        <w:rPr>
          <w:rFonts w:hint="default" w:ascii="Book Antiqua" w:hAnsi="Book Antiqua"/>
          <w:b/>
          <w:color w:val="0000FF"/>
          <w:sz w:val="24"/>
          <w:lang w:val="pt-BR"/>
        </w:rPr>
        <w:t>168</w:t>
      </w:r>
      <w:r>
        <w:rPr>
          <w:rFonts w:ascii="Book Antiqua" w:hAnsi="Book Antiqua"/>
          <w:b/>
          <w:color w:val="0000FF"/>
          <w:sz w:val="24"/>
        </w:rPr>
        <w:t>/2021/PREGÃO/SML/PMA</w:t>
      </w:r>
    </w:p>
    <w:p>
      <w:pPr>
        <w:widowControl w:val="0"/>
        <w:tabs>
          <w:tab w:val="left" w:pos="1134"/>
        </w:tabs>
        <w:spacing w:after="120"/>
        <w:ind w:left="4536"/>
        <w:jc w:val="both"/>
        <w:rPr>
          <w:rFonts w:ascii="Book Antiqua" w:hAnsi="Book Antiqua"/>
        </w:rPr>
      </w:pPr>
    </w:p>
    <w:p>
      <w:pPr>
        <w:pStyle w:val="2"/>
        <w:keepNext w:val="0"/>
        <w:widowControl w:val="0"/>
        <w:spacing w:after="120"/>
        <w:jc w:val="center"/>
        <w:rPr>
          <w:rFonts w:ascii="Book Antiqua" w:hAnsi="Book Antiqua"/>
          <w:i w:val="0"/>
          <w:iCs/>
          <w:sz w:val="24"/>
        </w:rPr>
      </w:pPr>
      <w:r>
        <w:rPr>
          <w:rFonts w:ascii="Book Antiqua" w:hAnsi="Book Antiqua"/>
          <w:i w:val="0"/>
          <w:iCs/>
          <w:sz w:val="24"/>
          <w:highlight w:val="yellow"/>
        </w:rPr>
        <w:t>ANEXO V - DO EDITAL</w:t>
      </w:r>
    </w:p>
    <w:p>
      <w:pPr>
        <w:widowControl w:val="0"/>
        <w:spacing w:after="120"/>
        <w:jc w:val="center"/>
        <w:rPr>
          <w:rFonts w:ascii="Book Antiqua" w:hAnsi="Book Antiqua"/>
          <w:b/>
          <w:sz w:val="24"/>
        </w:rPr>
      </w:pPr>
      <w:r>
        <w:rPr>
          <w:rFonts w:ascii="Book Antiqua" w:hAnsi="Book Antiqua"/>
          <w:b/>
          <w:sz w:val="24"/>
          <w:highlight w:val="yellow"/>
        </w:rPr>
        <w:t>MODELO ATESTADO DE CAPACIDADE TÉCNICA</w:t>
      </w:r>
    </w:p>
    <w:p>
      <w:pPr>
        <w:widowControl w:val="0"/>
        <w:spacing w:after="120"/>
        <w:jc w:val="both"/>
        <w:rPr>
          <w:rFonts w:ascii="Book Antiqua" w:hAnsi="Book Antiqua"/>
        </w:rPr>
      </w:pPr>
    </w:p>
    <w:p>
      <w:pPr>
        <w:widowControl w:val="0"/>
        <w:spacing w:after="120"/>
        <w:jc w:val="both"/>
        <w:rPr>
          <w:rFonts w:ascii="Book Antiqua" w:hAnsi="Book Antiqua"/>
        </w:rPr>
      </w:pPr>
    </w:p>
    <w:p>
      <w:pPr>
        <w:pStyle w:val="22"/>
        <w:widowControl w:val="0"/>
        <w:spacing w:line="360" w:lineRule="auto"/>
        <w:ind w:firstLine="709"/>
        <w:rPr>
          <w:rFonts w:ascii="Book Antiqua" w:hAnsi="Book Antiqua"/>
          <w:sz w:val="22"/>
        </w:rPr>
      </w:pPr>
      <w:r>
        <w:rPr>
          <w:rFonts w:ascii="Book Antiqua" w:hAnsi="Book Antiqua"/>
          <w:sz w:val="22"/>
        </w:rPr>
        <w:t xml:space="preserve">Atestamos para os devidos fins que a empresa </w:t>
      </w:r>
      <w:r>
        <w:rPr>
          <w:rFonts w:ascii="Book Antiqua" w:hAnsi="Book Antiqua"/>
          <w:b/>
          <w:sz w:val="22"/>
        </w:rPr>
        <w:t>[Razão Social da Empresa Licitante]</w:t>
      </w:r>
      <w:r>
        <w:rPr>
          <w:rFonts w:ascii="Book Antiqua" w:hAnsi="Book Antiqua"/>
          <w:sz w:val="22"/>
        </w:rPr>
        <w:t xml:space="preserve">, inscrita no CNPJ sob o Nº. </w:t>
      </w:r>
      <w:r>
        <w:rPr>
          <w:rFonts w:ascii="Book Antiqua" w:hAnsi="Book Antiqua"/>
          <w:b/>
          <w:sz w:val="22"/>
        </w:rPr>
        <w:t>[da Empresa Licitante]</w:t>
      </w:r>
      <w:r>
        <w:rPr>
          <w:rFonts w:ascii="Book Antiqua" w:hAnsi="Book Antiqua"/>
          <w:sz w:val="22"/>
        </w:rPr>
        <w:t xml:space="preserve">, estabelecida na </w:t>
      </w:r>
      <w:r>
        <w:rPr>
          <w:rFonts w:ascii="Book Antiqua" w:hAnsi="Book Antiqua"/>
          <w:b/>
          <w:sz w:val="22"/>
        </w:rPr>
        <w:t>[endereço da Empresa Licitante]</w:t>
      </w:r>
      <w:r>
        <w:rPr>
          <w:rFonts w:ascii="Book Antiqua" w:hAnsi="Book Antiqua"/>
          <w:sz w:val="22"/>
        </w:rPr>
        <w:t xml:space="preserve">, prestou para esta empresa/Entidade </w:t>
      </w:r>
      <w:r>
        <w:rPr>
          <w:rFonts w:ascii="Book Antiqua" w:hAnsi="Book Antiqua"/>
          <w:b/>
          <w:sz w:val="22"/>
        </w:rPr>
        <w:t>[Razão Social da Empresa Emitente do atestado]</w:t>
      </w:r>
      <w:r>
        <w:rPr>
          <w:rFonts w:ascii="Book Antiqua" w:hAnsi="Book Antiqua"/>
          <w:sz w:val="22"/>
        </w:rPr>
        <w:t xml:space="preserve">, inscrita no CNPJ sob o Nº. </w:t>
      </w:r>
      <w:r>
        <w:rPr>
          <w:rFonts w:ascii="Book Antiqua" w:hAnsi="Book Antiqua"/>
          <w:b/>
          <w:sz w:val="22"/>
        </w:rPr>
        <w:t>[CNPJ da Empresa Emitente do atestado]</w:t>
      </w:r>
      <w:r>
        <w:rPr>
          <w:rFonts w:ascii="Book Antiqua" w:hAnsi="Book Antiqua"/>
          <w:sz w:val="22"/>
        </w:rPr>
        <w:t xml:space="preserve">, situada no </w:t>
      </w:r>
      <w:r>
        <w:rPr>
          <w:rFonts w:ascii="Book Antiqua" w:hAnsi="Book Antiqua"/>
          <w:b/>
          <w:sz w:val="22"/>
        </w:rPr>
        <w:t>[endereço da Empresa Emitente do atestado]</w:t>
      </w:r>
      <w:r>
        <w:rPr>
          <w:rFonts w:ascii="Book Antiqua" w:hAnsi="Book Antiqua"/>
          <w:sz w:val="22"/>
        </w:rPr>
        <w:t>, os materiais/serviços abaixo especificado(s), no período de (__/__/__ a __/__/__):</w:t>
      </w:r>
    </w:p>
    <w:p>
      <w:pPr>
        <w:pStyle w:val="22"/>
        <w:widowControl w:val="0"/>
        <w:rPr>
          <w:rFonts w:ascii="Book Antiqua" w:hAnsi="Book Antiqua"/>
          <w:sz w:val="22"/>
        </w:rPr>
      </w:pPr>
    </w:p>
    <w:p>
      <w:pPr>
        <w:pStyle w:val="22"/>
        <w:widowControl w:val="0"/>
        <w:rPr>
          <w:rFonts w:ascii="Book Antiqua" w:hAnsi="Book Antiqua"/>
          <w:sz w:val="22"/>
        </w:rPr>
      </w:pPr>
      <w:r>
        <w:rPr>
          <w:rFonts w:ascii="Book Antiqua" w:hAnsi="Book Antiqua"/>
          <w:sz w:val="22"/>
        </w:rPr>
        <w:t xml:space="preserve">Descrição:  </w:t>
      </w:r>
      <w:r>
        <w:rPr>
          <w:rFonts w:ascii="Book Antiqua" w:hAnsi="Book Antiqua"/>
          <w:sz w:val="22"/>
        </w:rPr>
        <w:tab/>
      </w:r>
      <w:r>
        <w:rPr>
          <w:rFonts w:ascii="Book Antiqua" w:hAnsi="Book Antiqua"/>
          <w:sz w:val="22"/>
        </w:rPr>
        <w:tab/>
      </w:r>
      <w:r>
        <w:rPr>
          <w:rFonts w:ascii="Book Antiqua" w:hAnsi="Book Antiqua"/>
          <w:sz w:val="22"/>
        </w:rPr>
        <w:t>Quant.</w:t>
      </w:r>
      <w:r>
        <w:rPr>
          <w:rFonts w:ascii="Book Antiqua" w:hAnsi="Book Antiqua"/>
          <w:sz w:val="22"/>
        </w:rPr>
        <w:tab/>
      </w:r>
      <w:r>
        <w:rPr>
          <w:rFonts w:ascii="Book Antiqua" w:hAnsi="Book Antiqua"/>
          <w:sz w:val="22"/>
        </w:rPr>
        <w:tab/>
      </w:r>
      <w:r>
        <w:rPr>
          <w:rFonts w:ascii="Book Antiqua" w:hAnsi="Book Antiqua"/>
          <w:sz w:val="22"/>
        </w:rPr>
        <w:t>Valor</w:t>
      </w:r>
    </w:p>
    <w:p>
      <w:pPr>
        <w:pStyle w:val="22"/>
        <w:widowControl w:val="0"/>
        <w:rPr>
          <w:rFonts w:ascii="Book Antiqua" w:hAnsi="Book Antiqua"/>
          <w:sz w:val="22"/>
        </w:rPr>
      </w:pPr>
    </w:p>
    <w:p>
      <w:pPr>
        <w:pStyle w:val="22"/>
        <w:widowControl w:val="0"/>
        <w:rPr>
          <w:rFonts w:ascii="Book Antiqua" w:hAnsi="Book Antiqua"/>
          <w:sz w:val="22"/>
        </w:rPr>
      </w:pPr>
    </w:p>
    <w:p>
      <w:pPr>
        <w:pStyle w:val="22"/>
        <w:widowControl w:val="0"/>
        <w:spacing w:line="360" w:lineRule="auto"/>
        <w:rPr>
          <w:rFonts w:ascii="Book Antiqua" w:hAnsi="Book Antiqua"/>
          <w:sz w:val="22"/>
        </w:rPr>
      </w:pPr>
      <w:r>
        <w:rPr>
          <w:rFonts w:ascii="Book Antiqua" w:hAnsi="Book Antiqua"/>
          <w:sz w:val="22"/>
        </w:rPr>
        <w:t>Obs.: (quando necessário)</w:t>
      </w:r>
    </w:p>
    <w:p>
      <w:pPr>
        <w:pStyle w:val="22"/>
        <w:widowControl w:val="0"/>
        <w:spacing w:line="360" w:lineRule="auto"/>
        <w:rPr>
          <w:rFonts w:ascii="Book Antiqua" w:hAnsi="Book Antiqua"/>
          <w:sz w:val="22"/>
        </w:rPr>
      </w:pPr>
    </w:p>
    <w:p>
      <w:pPr>
        <w:pStyle w:val="22"/>
        <w:widowControl w:val="0"/>
        <w:spacing w:line="360" w:lineRule="auto"/>
        <w:rPr>
          <w:rFonts w:ascii="Book Antiqua" w:hAnsi="Book Antiqua"/>
          <w:sz w:val="22"/>
        </w:rPr>
      </w:pPr>
      <w:r>
        <w:rPr>
          <w:rFonts w:ascii="Book Antiqua" w:hAnsi="Book Antiqua"/>
          <w:sz w:val="22"/>
        </w:rPr>
        <w:t>Atestamos ainda, que tal(is) prestação (ões) está (ão) sendo / foi (ram) executado(s) satisfatoriamente, não existindo, em nossos registros, até a presente data, fatos que desabonem sua conduta e responsabilidade com as obrigações assumidas.</w:t>
      </w:r>
    </w:p>
    <w:p>
      <w:pPr>
        <w:widowControl w:val="0"/>
        <w:spacing w:line="360" w:lineRule="auto"/>
        <w:jc w:val="both"/>
        <w:rPr>
          <w:rFonts w:ascii="Book Antiqua" w:hAnsi="Book Antiqua"/>
        </w:rPr>
      </w:pPr>
    </w:p>
    <w:p>
      <w:pPr>
        <w:widowControl w:val="0"/>
        <w:jc w:val="center"/>
        <w:rPr>
          <w:rFonts w:ascii="Book Antiqua" w:hAnsi="Book Antiqua"/>
        </w:rPr>
      </w:pPr>
      <w:r>
        <w:rPr>
          <w:rFonts w:ascii="Book Antiqua" w:hAnsi="Book Antiqua"/>
        </w:rPr>
        <w:t>Local e Data</w:t>
      </w:r>
    </w:p>
    <w:p>
      <w:pPr>
        <w:widowControl w:val="0"/>
        <w:jc w:val="center"/>
        <w:rPr>
          <w:rFonts w:ascii="Book Antiqua" w:hAnsi="Book Antiqua"/>
        </w:rPr>
      </w:pPr>
    </w:p>
    <w:p>
      <w:pPr>
        <w:widowControl w:val="0"/>
        <w:jc w:val="center"/>
        <w:rPr>
          <w:rFonts w:ascii="Book Antiqua" w:hAnsi="Book Antiqua"/>
        </w:rPr>
      </w:pPr>
      <w:r>
        <w:rPr>
          <w:rFonts w:ascii="Book Antiqua" w:hAnsi="Book Antiqua"/>
        </w:rPr>
        <w:t>___________________________________________</w:t>
      </w:r>
    </w:p>
    <w:p>
      <w:pPr>
        <w:widowControl w:val="0"/>
        <w:autoSpaceDE w:val="0"/>
        <w:autoSpaceDN w:val="0"/>
        <w:adjustRightInd w:val="0"/>
        <w:jc w:val="center"/>
        <w:rPr>
          <w:rFonts w:ascii="Book Antiqua" w:hAnsi="Book Antiqua"/>
        </w:rPr>
      </w:pPr>
      <w:r>
        <w:rPr>
          <w:rFonts w:ascii="Book Antiqua" w:hAnsi="Book Antiqua"/>
        </w:rPr>
        <w:t>[Nome do Representante da Empresa Emitente]</w:t>
      </w:r>
    </w:p>
    <w:p>
      <w:pPr>
        <w:widowControl w:val="0"/>
        <w:autoSpaceDE w:val="0"/>
        <w:autoSpaceDN w:val="0"/>
        <w:adjustRightInd w:val="0"/>
        <w:jc w:val="center"/>
        <w:rPr>
          <w:rFonts w:ascii="Book Antiqua" w:hAnsi="Book Antiqua"/>
        </w:rPr>
      </w:pPr>
      <w:r>
        <w:rPr>
          <w:rFonts w:ascii="Book Antiqua" w:hAnsi="Book Antiqua"/>
        </w:rPr>
        <w:t>Cargo / Telefone</w:t>
      </w:r>
    </w:p>
    <w:p>
      <w:pPr>
        <w:widowControl w:val="0"/>
        <w:jc w:val="both"/>
        <w:rPr>
          <w:rFonts w:ascii="Book Antiqua" w:hAnsi="Book Antiqua"/>
          <w:b/>
          <w:u w:val="single"/>
        </w:rPr>
      </w:pPr>
    </w:p>
    <w:p>
      <w:pPr>
        <w:widowControl w:val="0"/>
        <w:jc w:val="both"/>
        <w:rPr>
          <w:rFonts w:ascii="Book Antiqua" w:hAnsi="Book Antiqua"/>
          <w:b/>
          <w:u w:val="single"/>
        </w:rPr>
      </w:pPr>
    </w:p>
    <w:p>
      <w:pPr>
        <w:widowControl w:val="0"/>
        <w:jc w:val="both"/>
        <w:rPr>
          <w:rFonts w:ascii="Book Antiqua" w:hAnsi="Book Antiqua"/>
          <w:b/>
        </w:rPr>
      </w:pPr>
      <w:r>
        <w:rPr>
          <w:rFonts w:ascii="Book Antiqua" w:hAnsi="Book Antiqua"/>
          <w:b/>
          <w:u w:val="single"/>
        </w:rPr>
        <w:t>OBSERVAÇÃO</w:t>
      </w:r>
      <w:r>
        <w:rPr>
          <w:rFonts w:ascii="Book Antiqua" w:hAnsi="Book Antiqua"/>
          <w:b/>
        </w:rPr>
        <w:t xml:space="preserve">: </w:t>
      </w:r>
    </w:p>
    <w:p>
      <w:pPr>
        <w:widowControl w:val="0"/>
        <w:jc w:val="both"/>
        <w:rPr>
          <w:rFonts w:ascii="Book Antiqua" w:hAnsi="Book Antiqua"/>
          <w:b/>
        </w:rPr>
      </w:pPr>
    </w:p>
    <w:p>
      <w:pPr>
        <w:pStyle w:val="83"/>
        <w:widowControl w:val="0"/>
        <w:numPr>
          <w:ilvl w:val="1"/>
          <w:numId w:val="17"/>
        </w:numPr>
        <w:contextualSpacing w:val="0"/>
        <w:jc w:val="both"/>
        <w:rPr>
          <w:rFonts w:ascii="Book Antiqua" w:hAnsi="Book Antiqua"/>
          <w:sz w:val="22"/>
          <w:szCs w:val="22"/>
        </w:rPr>
      </w:pPr>
      <w:r>
        <w:rPr>
          <w:rFonts w:ascii="Book Antiqua" w:hAnsi="Book Antiqua"/>
          <w:sz w:val="22"/>
          <w:szCs w:val="22"/>
        </w:rPr>
        <w:t>Deve ser emitido em papel timbrado da empresa/entidade ou identificá-la logo abaixo ou acima do texto, com nome, CNPJ, endereço, telefones, fax e e-mail.</w:t>
      </w:r>
    </w:p>
    <w:p>
      <w:pPr>
        <w:pStyle w:val="83"/>
        <w:widowControl w:val="0"/>
        <w:numPr>
          <w:ilvl w:val="1"/>
          <w:numId w:val="17"/>
        </w:numPr>
        <w:contextualSpacing w:val="0"/>
        <w:jc w:val="both"/>
        <w:rPr>
          <w:rFonts w:ascii="Book Antiqua" w:hAnsi="Book Antiqua"/>
          <w:sz w:val="22"/>
          <w:szCs w:val="22"/>
        </w:rPr>
      </w:pPr>
      <w:r>
        <w:rPr>
          <w:rFonts w:ascii="Book Antiqua" w:hAnsi="Book Antiqua"/>
          <w:sz w:val="22"/>
          <w:szCs w:val="22"/>
        </w:rPr>
        <w:t>A falta deste documento causa a INABILITAÇÃO da Licitante no certame licitatório.</w:t>
      </w:r>
    </w:p>
    <w:p>
      <w:pPr>
        <w:widowControl w:val="0"/>
        <w:jc w:val="both"/>
        <w:rPr>
          <w:rFonts w:ascii="Book Antiqua" w:hAnsi="Book Antiqua"/>
        </w:rPr>
      </w:pPr>
    </w:p>
    <w:p>
      <w:pPr>
        <w:widowControl w:val="0"/>
        <w:jc w:val="both"/>
        <w:rPr>
          <w:rFonts w:ascii="Book Antiqua" w:hAnsi="Book Antiqua"/>
        </w:rPr>
      </w:pPr>
    </w:p>
    <w:p>
      <w:pPr>
        <w:widowControl w:val="0"/>
        <w:jc w:val="both"/>
        <w:rPr>
          <w:rFonts w:ascii="Book Antiqua" w:hAnsi="Book Antiqua"/>
        </w:rPr>
      </w:pPr>
    </w:p>
    <w:p>
      <w:pPr>
        <w:widowControl w:val="0"/>
        <w:jc w:val="both"/>
        <w:rPr>
          <w:rFonts w:ascii="Book Antiqua" w:hAnsi="Book Antiqua"/>
        </w:rPr>
      </w:pPr>
    </w:p>
    <w:p>
      <w:pPr>
        <w:widowControl w:val="0"/>
        <w:jc w:val="both"/>
        <w:rPr>
          <w:rFonts w:ascii="Book Antiqua" w:hAnsi="Book Antiqua"/>
        </w:rPr>
      </w:pPr>
    </w:p>
    <w:p>
      <w:pPr>
        <w:widowControl w:val="0"/>
        <w:jc w:val="both"/>
        <w:rPr>
          <w:rFonts w:ascii="Book Antiqua" w:hAnsi="Book Antiqua"/>
        </w:rPr>
      </w:pPr>
    </w:p>
    <w:p>
      <w:pPr>
        <w:widowControl w:val="0"/>
        <w:jc w:val="both"/>
        <w:rPr>
          <w:rFonts w:ascii="Book Antiqua" w:hAnsi="Book Antiqua"/>
        </w:rPr>
      </w:pPr>
    </w:p>
    <w:p>
      <w:pPr>
        <w:widowControl w:val="0"/>
        <w:pBdr>
          <w:top w:val="single" w:color="auto" w:sz="4" w:space="0"/>
          <w:left w:val="single" w:color="auto" w:sz="4" w:space="4"/>
          <w:bottom w:val="single" w:color="auto" w:sz="4" w:space="1"/>
          <w:right w:val="single" w:color="auto" w:sz="4" w:space="4"/>
        </w:pBdr>
        <w:shd w:val="clear" w:color="auto" w:fill="CCCCCC"/>
        <w:autoSpaceDE w:val="0"/>
        <w:autoSpaceDN w:val="0"/>
        <w:adjustRightInd w:val="0"/>
        <w:spacing w:after="120"/>
        <w:jc w:val="center"/>
        <w:rPr>
          <w:rFonts w:ascii="Book Antiqua" w:hAnsi="Book Antiqua"/>
          <w:b/>
          <w:bCs/>
          <w:color w:val="0000FF"/>
          <w:sz w:val="24"/>
        </w:rPr>
      </w:pPr>
      <w:r>
        <w:rPr>
          <w:rFonts w:ascii="Book Antiqua" w:hAnsi="Book Antiqua"/>
          <w:b/>
          <w:color w:val="0000FF"/>
          <w:sz w:val="24"/>
        </w:rPr>
        <w:t xml:space="preserve">PREGÃO ELETRÔNICO Nº. </w:t>
      </w:r>
      <w:r>
        <w:rPr>
          <w:rFonts w:hint="default" w:ascii="Book Antiqua" w:hAnsi="Book Antiqua"/>
          <w:b/>
          <w:color w:val="0000FF"/>
          <w:sz w:val="24"/>
          <w:lang w:val="pt-BR"/>
        </w:rPr>
        <w:t>168</w:t>
      </w:r>
      <w:r>
        <w:rPr>
          <w:rFonts w:ascii="Book Antiqua" w:hAnsi="Book Antiqua"/>
          <w:b/>
          <w:color w:val="0000FF"/>
          <w:sz w:val="24"/>
        </w:rPr>
        <w:t>/2021/PREGÃO/SML/PMA</w:t>
      </w:r>
    </w:p>
    <w:p>
      <w:pPr>
        <w:widowControl w:val="0"/>
        <w:spacing w:after="120"/>
        <w:jc w:val="center"/>
        <w:rPr>
          <w:rFonts w:ascii="Book Antiqua" w:hAnsi="Book Antiqua"/>
          <w:b/>
          <w:bCs/>
          <w:sz w:val="24"/>
          <w:szCs w:val="24"/>
          <w:highlight w:val="yellow"/>
        </w:rPr>
      </w:pPr>
      <w:r>
        <w:rPr>
          <w:rFonts w:ascii="Book Antiqua" w:hAnsi="Book Antiqua"/>
          <w:b/>
          <w:bCs/>
          <w:sz w:val="24"/>
          <w:szCs w:val="24"/>
          <w:highlight w:val="yellow"/>
        </w:rPr>
        <w:t>ANEXO VI – DO EDITAL</w:t>
      </w:r>
    </w:p>
    <w:p>
      <w:pPr>
        <w:widowControl w:val="0"/>
        <w:spacing w:after="120"/>
        <w:jc w:val="center"/>
        <w:rPr>
          <w:rFonts w:ascii="Book Antiqua" w:hAnsi="Book Antiqua"/>
          <w:b/>
          <w:bCs/>
          <w:sz w:val="24"/>
          <w:szCs w:val="24"/>
        </w:rPr>
      </w:pPr>
      <w:r>
        <w:rPr>
          <w:rFonts w:ascii="Book Antiqua" w:hAnsi="Book Antiqua"/>
          <w:b/>
          <w:bCs/>
          <w:sz w:val="24"/>
          <w:szCs w:val="24"/>
          <w:highlight w:val="yellow"/>
        </w:rPr>
        <w:t>MINUTA DO CONTRATO</w:t>
      </w:r>
    </w:p>
    <w:p>
      <w:pPr>
        <w:widowControl w:val="0"/>
        <w:jc w:val="both"/>
        <w:rPr>
          <w:rFonts w:ascii="Book Antiqua" w:hAnsi="Book Antiqua"/>
        </w:rPr>
      </w:pPr>
    </w:p>
    <w:p>
      <w:pPr>
        <w:rPr>
          <w:rFonts w:ascii="Century Gothic" w:hAnsi="Century Gothic" w:cs="Arial"/>
          <w:sz w:val="16"/>
          <w:szCs w:val="16"/>
        </w:rPr>
      </w:pPr>
    </w:p>
    <w:p>
      <w:pPr>
        <w:keepNext w:val="0"/>
        <w:keepLines w:val="0"/>
        <w:widowControl/>
        <w:suppressLineNumbers w:val="0"/>
        <w:jc w:val="both"/>
      </w:pPr>
      <w:r>
        <w:rPr>
          <w:rFonts w:ascii="Courier New" w:hAnsi="Courier New" w:eastAsia="SimSun" w:cs="Courier New"/>
          <w:b/>
          <w:bCs/>
          <w:kern w:val="0"/>
          <w:sz w:val="22"/>
          <w:szCs w:val="22"/>
          <w:lang w:val="en-US" w:eastAsia="zh-CN" w:bidi="ar"/>
        </w:rPr>
        <w:t>Minuta de Contrato nº      /2021</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Processo nº 2883/2021 Semdes Seguro de Veículo</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 </w:t>
      </w:r>
    </w:p>
    <w:p>
      <w:pPr>
        <w:keepNext w:val="0"/>
        <w:keepLines w:val="0"/>
        <w:widowControl/>
        <w:suppressLineNumbers w:val="0"/>
        <w:pBdr>
          <w:left w:val="none" w:color="auto" w:sz="0" w:space="0"/>
        </w:pBdr>
        <w:jc w:val="both"/>
      </w:pPr>
      <w:r>
        <w:rPr>
          <w:rFonts w:hint="default" w:ascii="Courier New" w:hAnsi="Courier New" w:eastAsia="Times New Roman" w:cs="Courier New"/>
          <w:kern w:val="0"/>
          <w:sz w:val="22"/>
          <w:szCs w:val="22"/>
          <w:lang w:val="en-US" w:eastAsia="zh-CN" w:bidi="ar"/>
        </w:rPr>
        <w:t xml:space="preserve">CONTRATO QUE ENTRE SI CELEBRAM A PREFEITURA MUNICIPAL DE ARIQUEMES/RO, POR INTERMÉDIO DA SECRETARIA MUNICIPAL DE ASSISTÊNCIA SOCIAL - SEMDES E A EMPRESA </w:t>
      </w:r>
      <w:r>
        <w:rPr>
          <w:rFonts w:hint="default" w:ascii="Courier New" w:hAnsi="Courier New" w:eastAsia="SimSun" w:cs="Courier New"/>
          <w:b/>
          <w:bCs/>
          <w:kern w:val="0"/>
          <w:sz w:val="22"/>
          <w:szCs w:val="22"/>
          <w:lang w:val="en-US" w:eastAsia="zh-CN" w:bidi="ar"/>
        </w:rPr>
        <w:t>................</w:t>
      </w:r>
      <w:r>
        <w:rPr>
          <w:rFonts w:hint="default" w:ascii="Courier New" w:hAnsi="Courier New" w:eastAsia="Times New Roman" w:cs="Courier New"/>
          <w:kern w:val="0"/>
          <w:sz w:val="22"/>
          <w:szCs w:val="22"/>
          <w:lang w:val="en-US" w:eastAsia="zh-CN" w:bidi="ar"/>
        </w:rPr>
        <w:t>, PARA OS FINS QUE NAS CLÁUSULAS ABAIXO SE ESPECIFICAM.</w:t>
      </w:r>
    </w:p>
    <w:p>
      <w:pPr>
        <w:keepNext w:val="0"/>
        <w:keepLines w:val="0"/>
        <w:widowControl/>
        <w:suppressLineNumbers w:val="0"/>
        <w:jc w:val="left"/>
      </w:pPr>
      <w:r>
        <w:rPr>
          <w:rFonts w:hint="default" w:ascii="Courier New" w:hAnsi="Courier New" w:eastAsia="SimSun" w:cs="Courier New"/>
          <w:kern w:val="0"/>
          <w:sz w:val="22"/>
          <w:szCs w:val="22"/>
          <w:lang w:val="en-US" w:eastAsia="zh-CN" w:bidi="ar"/>
        </w:rPr>
        <w:t> </w:t>
      </w:r>
    </w:p>
    <w:p>
      <w:pPr>
        <w:keepNext w:val="0"/>
        <w:keepLines w:val="0"/>
        <w:widowControl/>
        <w:suppressLineNumbers w:val="0"/>
        <w:jc w:val="left"/>
      </w:pPr>
      <w:r>
        <w:rPr>
          <w:rFonts w:hint="default" w:ascii="Courier New" w:hAnsi="Courier New" w:eastAsia="SimSun" w:cs="Courier New"/>
          <w:b/>
          <w:bCs/>
          <w:kern w:val="0"/>
          <w:sz w:val="22"/>
          <w:szCs w:val="22"/>
          <w:lang w:val="en-US" w:eastAsia="zh-CN" w:bidi="ar"/>
        </w:rPr>
        <w:t xml:space="preserve">MUNICÍPIO DE ARIQUEMES, </w:t>
      </w:r>
      <w:r>
        <w:rPr>
          <w:rFonts w:hint="default" w:ascii="Courier New" w:hAnsi="Courier New" w:eastAsia="Arial Unicode MS" w:cs="Courier New"/>
          <w:b w:val="0"/>
          <w:bCs w:val="0"/>
          <w:kern w:val="0"/>
          <w:sz w:val="22"/>
          <w:szCs w:val="22"/>
          <w:lang w:val="en-US" w:eastAsia="zh-CN" w:bidi="ar"/>
        </w:rPr>
        <w:t>pessoa jurídica de direito público interno, devidamente inscrito no CNPJ nº 04.104.816/0001-16, com sede na Av. Tancredo Neves, Setor Institucional, nº 2.166, neste ato representado pela Sra</w:t>
      </w:r>
      <w:r>
        <w:rPr>
          <w:rFonts w:hint="default" w:ascii="Courier New" w:hAnsi="Courier New" w:eastAsia="SimSun" w:cs="Courier New"/>
          <w:b/>
          <w:bCs/>
          <w:kern w:val="0"/>
          <w:sz w:val="22"/>
          <w:szCs w:val="22"/>
          <w:lang w:val="en-US" w:eastAsia="zh-CN" w:bidi="ar"/>
        </w:rPr>
        <w:t>. Carla Gonçalves Rezende</w:t>
      </w:r>
      <w:r>
        <w:rPr>
          <w:rFonts w:hint="default" w:ascii="Courier New" w:hAnsi="Courier New" w:eastAsia="Arial Unicode MS" w:cs="Courier New"/>
          <w:b w:val="0"/>
          <w:bCs w:val="0"/>
          <w:kern w:val="0"/>
          <w:sz w:val="22"/>
          <w:szCs w:val="22"/>
          <w:lang w:val="en-US" w:eastAsia="zh-CN" w:bidi="ar"/>
        </w:rPr>
        <w:t xml:space="preserve">, brasileira, portadora do RG nº 848386 SSP-RO e do CPF nº 846.071.572-87, residente à Rua Portugal, 3268, Jardim Europa, CEP 76.871-306, através da </w:t>
      </w:r>
      <w:r>
        <w:rPr>
          <w:rFonts w:hint="default" w:ascii="Courier New" w:hAnsi="Courier New" w:eastAsia="SimSun" w:cs="Courier New"/>
          <w:b/>
          <w:bCs/>
          <w:kern w:val="0"/>
          <w:sz w:val="22"/>
          <w:szCs w:val="22"/>
          <w:lang w:val="en-US" w:eastAsia="zh-CN" w:bidi="ar"/>
        </w:rPr>
        <w:t>SECRETARIA MUNICIPAL DE DESENVOLVIMENTO ECONÔMICO E SOCIAL</w:t>
      </w:r>
      <w:r>
        <w:rPr>
          <w:rFonts w:hint="default" w:ascii="Courier New" w:hAnsi="Courier New" w:eastAsia="Arial Unicode MS" w:cs="Courier New"/>
          <w:b w:val="0"/>
          <w:bCs w:val="0"/>
          <w:kern w:val="0"/>
          <w:sz w:val="22"/>
          <w:szCs w:val="22"/>
          <w:lang w:val="en-US" w:eastAsia="zh-CN" w:bidi="ar"/>
        </w:rPr>
        <w:t xml:space="preserve"> doravante denominado CONTRATANTE, neste ato representada pela Secretária </w:t>
      </w:r>
      <w:r>
        <w:rPr>
          <w:rFonts w:ascii="Arial" w:hAnsi="Arial" w:eastAsia="SimSun" w:cs="Arial"/>
          <w:b/>
          <w:bCs/>
          <w:kern w:val="0"/>
          <w:sz w:val="22"/>
          <w:szCs w:val="22"/>
          <w:lang w:val="en-US" w:eastAsia="zh-CN" w:bidi="ar"/>
        </w:rPr>
        <w:t>RODINEIA PEREIRA GOUVEA</w:t>
      </w:r>
      <w:r>
        <w:rPr>
          <w:rFonts w:hint="default" w:ascii="Arial" w:hAnsi="Arial" w:eastAsia="SimSun" w:cs="Arial"/>
          <w:b/>
          <w:bCs/>
          <w:kern w:val="0"/>
          <w:sz w:val="22"/>
          <w:szCs w:val="22"/>
          <w:lang w:val="en-US" w:eastAsia="zh-CN" w:bidi="ar"/>
        </w:rPr>
        <w:t>,</w:t>
      </w:r>
      <w:r>
        <w:rPr>
          <w:rFonts w:hint="default" w:ascii="Courier New" w:hAnsi="Courier New" w:eastAsia="SimSun" w:cs="Courier New"/>
          <w:b/>
          <w:bCs/>
          <w:kern w:val="0"/>
          <w:sz w:val="22"/>
          <w:szCs w:val="22"/>
          <w:lang w:val="en-US" w:eastAsia="zh-CN" w:bidi="ar"/>
        </w:rPr>
        <w:t xml:space="preserve"> CONTRATANTE e a Empresa </w:t>
      </w:r>
      <w:r>
        <w:rPr>
          <w:rFonts w:hint="default" w:ascii="Courier New" w:hAnsi="Courier New" w:eastAsia="Arial Unicode MS" w:cs="Courier New"/>
          <w:b w:val="0"/>
          <w:bCs w:val="0"/>
          <w:kern w:val="0"/>
          <w:sz w:val="22"/>
          <w:szCs w:val="22"/>
          <w:lang w:val="en-US" w:eastAsia="zh-CN" w:bidi="ar"/>
        </w:rPr>
        <w:t xml:space="preserve"> </w:t>
      </w:r>
      <w:r>
        <w:rPr>
          <w:rFonts w:hint="default" w:ascii="Courier New" w:hAnsi="Courier New" w:eastAsia="SimSun" w:cs="Courier New"/>
          <w:b/>
          <w:bCs/>
          <w:kern w:val="0"/>
          <w:sz w:val="22"/>
          <w:szCs w:val="22"/>
          <w:lang w:val="en-US" w:eastAsia="zh-CN" w:bidi="ar"/>
        </w:rPr>
        <w:t>.........................................</w:t>
      </w:r>
      <w:r>
        <w:rPr>
          <w:rFonts w:hint="default" w:ascii="Courier New" w:hAnsi="Courier New" w:eastAsia="Arial Unicode MS" w:cs="Courier New"/>
          <w:b w:val="0"/>
          <w:bCs w:val="0"/>
          <w:kern w:val="0"/>
          <w:sz w:val="22"/>
          <w:szCs w:val="22"/>
          <w:lang w:val="en-US" w:eastAsia="zh-CN" w:bidi="ar"/>
        </w:rPr>
        <w:t xml:space="preserve">, doravante denominada CONTRATADA, resolvem celebrar o presente instrumento contratual, que será regido pela Lei nº 8.666/93 e suas alterações e legislação correlata, Decreto Municipal nº 17.261/2021, cujo objeto foi licitado através do </w:t>
      </w:r>
      <w:r>
        <w:rPr>
          <w:rFonts w:hint="default" w:ascii="Courier New" w:hAnsi="Courier New" w:eastAsia="SimSun" w:cs="Courier New"/>
          <w:b/>
          <w:bCs/>
          <w:kern w:val="0"/>
          <w:sz w:val="22"/>
          <w:szCs w:val="22"/>
          <w:lang w:val="en-US" w:eastAsia="zh-CN" w:bidi="ar"/>
        </w:rPr>
        <w:t>Processo Administrativo nº 2883/2021/SEMDES</w:t>
      </w:r>
      <w:r>
        <w:rPr>
          <w:rFonts w:hint="default" w:ascii="Courier New" w:hAnsi="Courier New" w:eastAsia="Arial Unicode MS" w:cs="Courier New"/>
          <w:b w:val="0"/>
          <w:bCs w:val="0"/>
          <w:kern w:val="0"/>
          <w:sz w:val="22"/>
          <w:szCs w:val="22"/>
          <w:lang w:val="en-US" w:eastAsia="zh-CN" w:bidi="ar"/>
        </w:rPr>
        <w:t>,</w:t>
      </w:r>
      <w:r>
        <w:rPr>
          <w:rFonts w:hint="default" w:ascii="Courier New" w:hAnsi="Courier New" w:eastAsia="SimSun" w:cs="Courier New"/>
          <w:b/>
          <w:bCs/>
          <w:kern w:val="0"/>
          <w:sz w:val="22"/>
          <w:szCs w:val="22"/>
          <w:lang w:val="en-US" w:eastAsia="zh-CN" w:bidi="ar"/>
        </w:rPr>
        <w:t xml:space="preserve"> Pregão Eletrônico nº 168/2021/CPL/SML/PMA, </w:t>
      </w:r>
      <w:r>
        <w:rPr>
          <w:rFonts w:hint="default" w:ascii="Courier New" w:hAnsi="Courier New" w:eastAsia="Arial Unicode MS" w:cs="Courier New"/>
          <w:b w:val="0"/>
          <w:bCs w:val="0"/>
          <w:kern w:val="0"/>
          <w:sz w:val="22"/>
          <w:szCs w:val="22"/>
          <w:lang w:val="en-US" w:eastAsia="zh-CN" w:bidi="ar"/>
        </w:rPr>
        <w:t>tendo por finalidade estabelecer os direitos, deveres e obrigações das partes, mediante as seguintes cláusulas e condições:</w:t>
      </w:r>
    </w:p>
    <w:p>
      <w:pPr>
        <w:keepNext w:val="0"/>
        <w:keepLines w:val="0"/>
        <w:widowControl/>
        <w:suppressLineNumbers w:val="0"/>
        <w:jc w:val="both"/>
      </w:pP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CLÁUSULA PRIMEIRA DO OBJETO</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 xml:space="preserve">CONTRATAÇÃO DE EMPRESA ESPECIALIZADA NA PRESTAÇÃO DE SERVIÇOS DE SEGURO TOTAL PARA 07 VEÍCULOS LEVES E PESADOS, </w:t>
      </w:r>
      <w:r>
        <w:rPr>
          <w:rFonts w:hint="default" w:ascii="Courier New" w:hAnsi="Courier New" w:eastAsia="Times New Roman" w:cs="Courier New"/>
          <w:kern w:val="0"/>
          <w:sz w:val="22"/>
          <w:szCs w:val="22"/>
          <w:lang w:val="en-US" w:eastAsia="zh-CN" w:bidi="ar"/>
        </w:rPr>
        <w:t>para atender as necessidades da Secretaria Municipal de Assistência Social, conforme especificações e condições constantes no Termo de Referência e edital.</w:t>
      </w:r>
    </w:p>
    <w:p>
      <w:pPr>
        <w:keepNext w:val="0"/>
        <w:keepLines w:val="0"/>
        <w:widowControl/>
        <w:suppressLineNumbers w:val="0"/>
        <w:jc w:val="both"/>
      </w:pP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CLÁUSULA SEGUNDA DA VIGÊNCIA</w:t>
      </w:r>
    </w:p>
    <w:p>
      <w:pPr>
        <w:keepNext w:val="0"/>
        <w:keepLines w:val="0"/>
        <w:widowControl/>
        <w:suppressLineNumbers w:val="0"/>
        <w:jc w:val="both"/>
      </w:pPr>
      <w:r>
        <w:rPr>
          <w:rFonts w:hint="default" w:ascii="Courier New" w:hAnsi="Courier New" w:eastAsia="Times New Roman" w:cs="Courier New"/>
          <w:kern w:val="0"/>
          <w:sz w:val="22"/>
          <w:szCs w:val="22"/>
          <w:lang w:val="en-US" w:eastAsia="zh-CN" w:bidi="ar"/>
        </w:rPr>
        <w:t>O prazo de vigência do Contrato será de 12 (doze) meses contados a partir da publicação no Diário Oficial dos Municípios e no site da Prefeitura de Ariquemes, sendo vedada sua prorrogação.</w:t>
      </w:r>
    </w:p>
    <w:p>
      <w:pPr>
        <w:keepNext w:val="0"/>
        <w:keepLines w:val="0"/>
        <w:widowControl/>
        <w:suppressLineNumbers w:val="0"/>
        <w:jc w:val="both"/>
      </w:pP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CLÁUSULA TERCEIRA DO VALOR</w:t>
      </w:r>
    </w:p>
    <w:p>
      <w:pPr>
        <w:keepNext w:val="0"/>
        <w:keepLines w:val="0"/>
        <w:widowControl/>
        <w:suppressLineNumbers w:val="0"/>
        <w:jc w:val="both"/>
      </w:pPr>
      <w:r>
        <w:rPr>
          <w:rFonts w:hint="default" w:ascii="Courier New" w:hAnsi="Courier New" w:eastAsia="Times New Roman" w:cs="Courier New"/>
          <w:kern w:val="0"/>
          <w:sz w:val="22"/>
          <w:szCs w:val="22"/>
          <w:lang w:val="en-US" w:eastAsia="zh-CN" w:bidi="ar"/>
        </w:rPr>
        <w:t xml:space="preserve">O valor do presente contrato é de </w:t>
      </w:r>
      <w:r>
        <w:rPr>
          <w:rFonts w:hint="default" w:ascii="Courier New" w:hAnsi="Courier New" w:eastAsia="SimSun" w:cs="Courier New"/>
          <w:b/>
          <w:bCs/>
          <w:kern w:val="0"/>
          <w:sz w:val="22"/>
          <w:szCs w:val="22"/>
          <w:lang w:val="en-US" w:eastAsia="zh-CN" w:bidi="ar"/>
        </w:rPr>
        <w:t>R$ .......................</w:t>
      </w:r>
      <w:r>
        <w:rPr>
          <w:rFonts w:hint="default" w:ascii="Courier New" w:hAnsi="Courier New" w:eastAsia="Times New Roman" w:cs="Courier New"/>
          <w:kern w:val="0"/>
          <w:sz w:val="22"/>
          <w:szCs w:val="22"/>
          <w:lang w:val="en-US" w:eastAsia="zh-CN" w:bidi="ar"/>
        </w:rPr>
        <w:t xml:space="preserve"> conforme </w:t>
      </w:r>
      <w:r>
        <w:rPr>
          <w:rFonts w:hint="default" w:ascii="Courier New" w:hAnsi="Courier New" w:eastAsia="SimSun" w:cs="Courier New"/>
          <w:b/>
          <w:bCs/>
          <w:kern w:val="0"/>
          <w:sz w:val="22"/>
          <w:szCs w:val="22"/>
          <w:lang w:val="en-US" w:eastAsia="zh-CN" w:bidi="ar"/>
        </w:rPr>
        <w:t>Nota de Empenho nº ...........</w:t>
      </w:r>
    </w:p>
    <w:p>
      <w:pPr>
        <w:keepNext w:val="0"/>
        <w:keepLines w:val="0"/>
        <w:widowControl/>
        <w:suppressLineNumbers w:val="0"/>
        <w:jc w:val="both"/>
      </w:pPr>
      <w:r>
        <w:rPr>
          <w:rFonts w:hint="default" w:ascii="Courier New" w:hAnsi="Courier New" w:eastAsia="Times New Roman" w:cs="Courier New"/>
          <w:kern w:val="0"/>
          <w:sz w:val="22"/>
          <w:szCs w:val="22"/>
          <w:lang w:val="en-US" w:eastAsia="zh-CN" w:bidi="ar"/>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contratual.</w:t>
      </w:r>
    </w:p>
    <w:p>
      <w:pPr>
        <w:keepNext w:val="0"/>
        <w:keepLines w:val="0"/>
        <w:widowControl/>
        <w:suppressLineNumbers w:val="0"/>
        <w:jc w:val="both"/>
      </w:pP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CLÁUSULA QUARTA DA EXECUÇÃO FINANCEIRA E DOTAÇÃO ORÇAMENTÁRIA:</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Órgão:</w:t>
      </w:r>
      <w:r>
        <w:rPr>
          <w:rFonts w:hint="default" w:ascii="Courier New" w:hAnsi="Courier New" w:eastAsia="SimSun" w:cs="Courier New"/>
          <w:kern w:val="0"/>
          <w:sz w:val="22"/>
          <w:szCs w:val="22"/>
          <w:lang w:val="en-US" w:eastAsia="zh-CN" w:bidi="ar"/>
        </w:rPr>
        <w:t>-Prefeitura Municipal de Ariquemes;</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 xml:space="preserve">Unidade Orçamentária: </w:t>
      </w:r>
      <w:r>
        <w:rPr>
          <w:rFonts w:hint="default" w:ascii="Courier New" w:hAnsi="Courier New" w:eastAsia="SimSun" w:cs="Courier New"/>
          <w:kern w:val="0"/>
          <w:sz w:val="22"/>
          <w:szCs w:val="22"/>
          <w:lang w:val="en-US" w:eastAsia="zh-CN" w:bidi="ar"/>
        </w:rPr>
        <w:t>Fundo Municipal de Assistência Social-FMAS;</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Programação:    </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08.122.0001.2.400 - Manutenção das Atividades da SEMDES</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08.243.0010.2.403 - Manutenção do Conselho Tutelar </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08.244.0010.2.406 - Piso Básico Variável-SCFV</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08.244.0010.2.410 - Assistência do CRAS/PAIF</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08.243.0010.2.412 - Piso Fixo de Média Complexidade PAEFI/CREAS</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08.244.0010.2.414 - Gestão Cadastro Único - Bolsa Família</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Elemento de Despesa:</w:t>
      </w:r>
      <w:r>
        <w:rPr>
          <w:rFonts w:hint="default" w:ascii="Courier New" w:hAnsi="Courier New" w:eastAsia="SimSun" w:cs="Courier New"/>
          <w:kern w:val="0"/>
          <w:sz w:val="22"/>
          <w:szCs w:val="22"/>
          <w:lang w:val="en-US" w:eastAsia="zh-CN" w:bidi="ar"/>
        </w:rPr>
        <w:t> 33.90.39 - Outros Serv de Terceiros - Pessoa Jurídica</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Fonte de Recurso:</w:t>
      </w:r>
      <w:r>
        <w:rPr>
          <w:rFonts w:hint="default" w:ascii="Courier New" w:hAnsi="Courier New" w:eastAsia="SimSun" w:cs="Courier New"/>
          <w:kern w:val="0"/>
          <w:sz w:val="22"/>
          <w:szCs w:val="22"/>
          <w:lang w:val="en-US" w:eastAsia="zh-CN" w:bidi="ar"/>
        </w:rPr>
        <w:t> Próprios, Transferência Fundo a Fundo (União), Transferência de Recursos Estaduais.</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 </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CLÁUSULA QUINTA DO PAGAMENTO</w:t>
      </w:r>
    </w:p>
    <w:p>
      <w:pPr>
        <w:keepNext w:val="0"/>
        <w:keepLines w:val="0"/>
        <w:widowControl/>
        <w:suppressLineNumbers w:val="0"/>
        <w:jc w:val="both"/>
      </w:pPr>
      <w:r>
        <w:rPr>
          <w:rFonts w:hint="default" w:ascii="Courier New" w:hAnsi="Courier New" w:eastAsia="Times New Roman" w:cs="Courier New"/>
          <w:kern w:val="0"/>
          <w:sz w:val="22"/>
          <w:szCs w:val="22"/>
          <w:lang w:val="en-US" w:eastAsia="zh-CN" w:bidi="ar"/>
        </w:rPr>
        <w:t>5.1 - O prazo para pagamento e demais condições a eles referentes são aqueles previstos no Edital e no Termo de Referência.</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As condições de pagamento observarão, no que couber, os critérios para pagamento regidos pela Lei n.8.666/93 e Decreto Municipal 17.210, de 11 de fevereiro de 2021.</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5.2</w:t>
      </w:r>
      <w:r>
        <w:rPr>
          <w:rFonts w:hint="default" w:ascii="Courier New" w:hAnsi="Courier New" w:eastAsia="SimSun" w:cs="Courier New"/>
          <w:kern w:val="0"/>
          <w:sz w:val="22"/>
          <w:szCs w:val="22"/>
          <w:lang w:val="en-US" w:eastAsia="zh-CN" w:bidi="ar"/>
        </w:rPr>
        <w:t> Deverão ser apresentadas de imediato, logo após o recebimento definitivo, à Comissão de Recebimento, para tal fim designada mediante portaria publicada no Diário Oficial dos Municípios - AROM, as Notas Fiscais/Fatura Eletrônica DANFE, emitidas em 02 (duas) vias, devendo conter no corpo destas, a descrição do objeto, o número do Contrato e/ou nota de empenho e o número da Conta Bancária da CONTRATADA, para depósito do pagamento, o qual deverá ser efetuado no prazo máximo de 30 (trinta) dias da apresentação, devidamente autorizado pelo órgão fiscalizador do Município;</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5.3</w:t>
      </w:r>
      <w:r>
        <w:rPr>
          <w:rFonts w:hint="default" w:ascii="Courier New" w:hAnsi="Courier New" w:eastAsia="SimSun" w:cs="Courier New"/>
          <w:kern w:val="0"/>
          <w:sz w:val="22"/>
          <w:szCs w:val="22"/>
          <w:lang w:val="en-US" w:eastAsia="zh-CN" w:bidi="ar"/>
        </w:rPr>
        <w:t> Na hipótese das Notas Fiscais/Faturas apresentarem erros ou dúvidas quanto à exatidão ou documentação, a CONTRATANTE poderá pagar apenas a parcela não controvertida no prazo fixado para pagamento, ressalvado o direito da futura CONTRATADA de reapresentar, para cobrança as partes controvertidas com as devidas justificativas (nestes casos a CONTRATANTE terá o prazo de 05 (cinco) dias úteis, a partir do recebimento e análise da despesa pelos órgãos controladores do Município e pagamento).</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5.4</w:t>
      </w:r>
      <w:r>
        <w:rPr>
          <w:rFonts w:hint="default" w:ascii="Courier New" w:hAnsi="Courier New" w:eastAsia="SimSun" w:cs="Courier New"/>
          <w:kern w:val="0"/>
          <w:sz w:val="22"/>
          <w:szCs w:val="22"/>
          <w:lang w:val="en-US" w:eastAsia="zh-CN" w:bidi="ar"/>
        </w:rPr>
        <w:t> Se durante a liquidação for identificado erro ou falha documental sanável, salvo má-fé, o credor será notificado para no prazo de três dias corridos para sanear o documento, após esse prazo a obrigação do pagamento terá sua exigibilidade suspensa e será excluída da ordem cronológica.</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5.5</w:t>
      </w:r>
      <w:r>
        <w:rPr>
          <w:rFonts w:hint="default" w:ascii="Courier New" w:hAnsi="Courier New" w:eastAsia="SimSun" w:cs="Courier New"/>
          <w:kern w:val="0"/>
          <w:sz w:val="22"/>
          <w:szCs w:val="22"/>
          <w:lang w:val="en-US" w:eastAsia="zh-CN" w:bidi="ar"/>
        </w:rPr>
        <w:t> Na hipótese de devolução, a Nota Fiscal será considerada como não apresentada, para fins de atendimento das condições contratuais.</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5.6</w:t>
      </w:r>
      <w:r>
        <w:rPr>
          <w:rFonts w:hint="default" w:ascii="Courier New" w:hAnsi="Courier New" w:eastAsia="SimSun" w:cs="Courier New"/>
          <w:kern w:val="0"/>
          <w:sz w:val="22"/>
          <w:szCs w:val="22"/>
          <w:lang w:val="en-US" w:eastAsia="zh-CN" w:bidi="ar"/>
        </w:rPr>
        <w:t> Comprovação da efetiva entrega do quantitativo de materiais faturado. Prova de regularidade fiscal e trabalhista, vigentes na data do recebimento da Nota Fiscal pela Comissão, composta por no mínimo os seguintes documentos:</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a) Certificado de Regularidade do FGTS.</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b) Certidão de Regularidade Débitos Federais (INSS, Dívida Ativa da União e Receita Federal).</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c) Certidão Negativa da Fazenda Estadual.</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d) Certidão Negativa de Tributos Mobiliários Municipais.</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e) Certidão Negativa de Débitos Trabalhistas.</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 </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CLÁUSULA SEXTA DO REAJUSTE E ALTERAÇÕES</w:t>
      </w:r>
    </w:p>
    <w:p>
      <w:pPr>
        <w:keepNext w:val="0"/>
        <w:keepLines w:val="0"/>
        <w:widowControl/>
        <w:suppressLineNumbers w:val="0"/>
        <w:jc w:val="both"/>
      </w:pPr>
      <w:r>
        <w:rPr>
          <w:rFonts w:hint="default" w:ascii="Courier New" w:hAnsi="Courier New" w:eastAsia="Times New Roman" w:cs="Courier New"/>
          <w:kern w:val="0"/>
          <w:sz w:val="22"/>
          <w:szCs w:val="22"/>
          <w:lang w:val="en-US" w:eastAsia="zh-CN" w:bidi="ar"/>
        </w:rPr>
        <w:t>O reajuste de preços será na forma prevista no Edital e Termo de Referência.</w:t>
      </w:r>
    </w:p>
    <w:p>
      <w:pPr>
        <w:keepNext w:val="0"/>
        <w:keepLines w:val="0"/>
        <w:widowControl/>
        <w:suppressLineNumbers w:val="0"/>
        <w:jc w:val="both"/>
      </w:pP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CLÁUSULA SÉTIMA DA GARANTIA DO OBJETO</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7.1 - A demanda do órgão refere-se a frota atual de veículos pertencentes a SEMDES Secretaria Municipal de Desenvolvimento Social.</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7.1.2 O valor da franquia geral é obrigatória e a franquia de casco deverá ser fixa para cada veículo e constar obrigatoriamente na proposta da empresa vencedora. A sua efetiva contratação e pagamento somente ocorrerá quando do registro de sinistro junto à seguradora.</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7.1.3 Garantias do seguro:</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7.1.4 Garantia a veículos terceiros danos materiais e corporais de terceiros;</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7.1.5 Garantia de danos materiais ao veículo;</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7.1.6 Garantia de roubo/furto e incêndio do veículo;</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7.1.7 Garantia de indenização nos casos de:</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7.1.7.1 Colisão com veículos, pessoas ou animais, abalroamento ou capotamento envolvendo direta ou indiretamente o bem segurado;</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7.1.7.2 Queda acidental de precipícios ou pontes;</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7.1.7.3 Queda acidental sobre o veículo por qualquer agente que não faça parte integrante do mesmo;</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7.1.7.4 Incêndio e explosão acidental, raio e suas consequências;</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7.1.7.5 Acidente durante o transporte por qualquer meio apropriado;</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7.1.7.6 Atos danosos praticados por terceiros, exceto aqueles não indenizáveis regulamentados pela SUSEP;</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7.1.7.7 Submersão parcial ou total de veículo em água doce proveniente de enchentes ou inundações, inclusive nos casos de veículos guardados em subsolo;</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7.1.7.8 Roubo ou furto total do veículo, bem como os danos causados por tentativas de roubos ou furtos, incluindo vidros;</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7.1.7.9 Quebra de para-brisa total ou parcial, faróis e lanternas;</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7.1.7.10 Dano por tentativa ou decorrente de roubo ou furto;</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7.1.7.11 Incêndio.</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7.1.7.12 O serviço executado pelas oficinas indicadas pela seguradora deverá ter a garantia mínima de 03 (três) meses.</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7.1.8 O valor da franquia não deverá exceder o valor máximo admissível conforme valores constante neste Termo de Referência no item 15 . A franquia não se aplicará em caso de danos causados por incêndio, queda de raio/e ou explosão e nos casos de perda total, de acordo com a circular SUSEP n.º 145, de 7 de novembro de 2000.</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7.1.9 A franquia não será considerada para fins de classificação das propostas, que serão avaliadas exclusivamente em função dos preços (prêmios).</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 </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7.1.10</w:t>
      </w:r>
      <w:r>
        <w:rPr>
          <w:rFonts w:hint="default" w:ascii="Courier New" w:hAnsi="Courier New" w:eastAsia="SimSun" w:cs="Courier New"/>
          <w:kern w:val="0"/>
          <w:sz w:val="22"/>
          <w:szCs w:val="22"/>
          <w:lang w:val="en-US" w:eastAsia="zh-CN" w:bidi="ar"/>
        </w:rPr>
        <w:t> Aplicam-se, no que couber, os termos do Código de Proteção e Defesa do Consumidor, Lei Nº 8.078, de 11 de setembro de 1990, quanto à oferta de reposição do produto ou de peças, ainda que cessada a sua fabricação ou importação.</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7.1.11</w:t>
      </w:r>
      <w:r>
        <w:rPr>
          <w:rFonts w:hint="default" w:ascii="Courier New" w:hAnsi="Courier New" w:eastAsia="SimSun" w:cs="Courier New"/>
          <w:kern w:val="0"/>
          <w:sz w:val="22"/>
          <w:szCs w:val="22"/>
          <w:lang w:val="en-US" w:eastAsia="zh-CN" w:bidi="ar"/>
        </w:rPr>
        <w:t> Os serviços extraordinários que venham a se tornar necessários, nos casos comprovadamente decorrentes de operação fora das condições especificadas ou manuseio inadequado pelo usuário, somente poderão ser executados após prévio orçamento específico, expressamente aceito pelo Diretor da Unidade onde estiver lotado o veículo;</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7.1.12</w:t>
      </w:r>
      <w:r>
        <w:rPr>
          <w:rFonts w:hint="default" w:ascii="Courier New" w:hAnsi="Courier New" w:eastAsia="SimSun" w:cs="Courier New"/>
          <w:kern w:val="0"/>
          <w:sz w:val="22"/>
          <w:szCs w:val="22"/>
          <w:lang w:val="en-US" w:eastAsia="zh-CN" w:bidi="ar"/>
        </w:rPr>
        <w:t> Todas as peças de reposição necessárias à manutenção corretiva dos equipamentos deverão ser novas, originais e genuínas;</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7.1.13 </w:t>
      </w:r>
      <w:r>
        <w:rPr>
          <w:rFonts w:hint="default" w:ascii="Courier New" w:hAnsi="Courier New" w:eastAsia="SimSun" w:cs="Courier New"/>
          <w:kern w:val="0"/>
          <w:sz w:val="22"/>
          <w:szCs w:val="22"/>
          <w:lang w:val="en-US" w:eastAsia="zh-CN" w:bidi="ar"/>
        </w:rPr>
        <w:t>Todos os materiais deverão vir acompanhados do termo de Garantia e assistência técnica, relacionando os endereços (inclusive virtuais), telefones e representantes comerciais;</w:t>
      </w:r>
      <w:r>
        <w:rPr>
          <w:rFonts w:hint="default" w:ascii="Courier New" w:hAnsi="Courier New" w:eastAsia="SimSun" w:cs="Courier New"/>
          <w:kern w:val="0"/>
          <w:sz w:val="22"/>
          <w:szCs w:val="22"/>
          <w:lang w:val="en-US" w:eastAsia="zh-CN" w:bidi="ar"/>
        </w:rPr>
        <w:br w:type="textWrapping"/>
      </w:r>
      <w:r>
        <w:rPr>
          <w:rFonts w:hint="default" w:ascii="Courier New" w:hAnsi="Courier New" w:eastAsia="SimSun" w:cs="Courier New"/>
          <w:b/>
          <w:bCs/>
          <w:kern w:val="0"/>
          <w:sz w:val="22"/>
          <w:szCs w:val="22"/>
          <w:lang w:val="en-US" w:eastAsia="zh-CN" w:bidi="ar"/>
        </w:rPr>
        <w:t>7.1.14 </w:t>
      </w:r>
      <w:r>
        <w:rPr>
          <w:rFonts w:hint="default" w:ascii="Courier New" w:hAnsi="Courier New" w:eastAsia="SimSun" w:cs="Courier New"/>
          <w:kern w:val="0"/>
          <w:sz w:val="22"/>
          <w:szCs w:val="22"/>
          <w:lang w:val="en-US" w:eastAsia="zh-CN" w:bidi="ar"/>
        </w:rPr>
        <w:t>O serviço de ASSISTÊNCIA TÉCNICA deverá ser prestado em empresa especializada, autorizada pela fabricante, localizada no Estado de Rondônia.</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 </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CLÁUSULA OITAVA DA ENTREGA E DO RECEBIMENTO DO OBJETO</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8.1.1 - O prazo de entrega do OBJETO pela empresa vencedora não será superior a 30 (trinta) dias corridos, contados após recebimento da Nota Empenho;</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8.1.2 O fornecimento/entrega deverá ser efetuado mediante nota de empenho, referenciado na requisição e nota fiscal.</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8.1.3 Se o fornecedor vencedor tiver comprovadamente dificuldades para entregar os materiais, dentro do prazo estabelecido, não sofrerá multa, caso informe oficialmente com antecedência de mínimo 05 (cinco) dias úteis, antes de esgotado o prazo inicialmente previsto, apresentando justificativa circunstanciada formal, que deverá ser encaminhada a Secretária Municipal de Desenvolvimento Social do Município de Ariquemes que, por sua vez, decidirá à possibilidade de prorrogação do prazo, ou determinará a cominação das multas cabíveis, que ocorrerá a partir da efetiva notificação;</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8.1.4 Depois de esgotado o(s) prazo(s) concedido(s), a Comissão de Recebimento de Materiais e Serviços aplicará a multa por atraso na entrega dos serviços de 0,3%(três décimos por cento) ao dia, até o trigésimo dia de atraso sobre o valor do fornecimento ou serviço não realizado, e 10 % (dez por cento) sobre o valor total ou parcial da obrigação não cumprida, com o consequente cancelamento da nota de empenho ou documento equivalente.</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 </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CLÁUSULA NONA DA FISCALIZAÇÃO</w:t>
      </w:r>
    </w:p>
    <w:p>
      <w:pPr>
        <w:keepNext w:val="0"/>
        <w:keepLines w:val="0"/>
        <w:widowControl/>
        <w:suppressLineNumbers w:val="0"/>
        <w:jc w:val="both"/>
      </w:pPr>
      <w:r>
        <w:rPr>
          <w:rFonts w:hint="default" w:ascii="Courier New" w:hAnsi="Courier New" w:eastAsia="Times New Roman" w:cs="Courier New"/>
          <w:kern w:val="0"/>
          <w:sz w:val="22"/>
          <w:szCs w:val="22"/>
          <w:lang w:val="en-US" w:eastAsia="zh-CN" w:bidi="ar"/>
        </w:rPr>
        <w:t>A fiscalização da entrega/execução do objeto será efetuada por Comissão e/ou Representante designado pela Contratante, na forma estabelecida no Termo de Referência.</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9.1 Local/Horário</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9.1.1</w:t>
      </w:r>
      <w:r>
        <w:rPr>
          <w:rFonts w:hint="default" w:ascii="Courier New" w:hAnsi="Courier New" w:eastAsia="SimSun" w:cs="Courier New"/>
          <w:kern w:val="0"/>
          <w:sz w:val="22"/>
          <w:szCs w:val="22"/>
          <w:lang w:val="en-US" w:eastAsia="zh-CN" w:bidi="ar"/>
        </w:rPr>
        <w:t> </w:t>
      </w:r>
      <w:r>
        <w:rPr>
          <w:rFonts w:hint="default" w:ascii="Arial" w:hAnsi="Arial" w:eastAsia="SimSun" w:cs="Arial"/>
          <w:kern w:val="0"/>
          <w:sz w:val="22"/>
          <w:szCs w:val="22"/>
          <w:lang w:val="en-US" w:eastAsia="zh-CN" w:bidi="ar"/>
        </w:rPr>
        <w:t xml:space="preserve">As APÓLICES DO SEGURO deverão ser disponibilizadas à SEMDES no prazo máximo de 30 (trinta) dias a partir da assinatura do contrato, de forma eletrônica, ou excepcionalmente, e desde que justificadamente, diretamente na sede administrativa da </w:t>
      </w:r>
      <w:r>
        <w:rPr>
          <w:rFonts w:hint="default" w:ascii="Arial" w:hAnsi="Arial" w:eastAsia="SimSun" w:cs="Arial"/>
          <w:b/>
          <w:bCs/>
          <w:kern w:val="0"/>
          <w:sz w:val="22"/>
          <w:szCs w:val="22"/>
          <w:lang w:val="en-US" w:eastAsia="zh-CN" w:bidi="ar"/>
        </w:rPr>
        <w:t>Secretaria Municipal de Desenvolvimento Social SEMDES</w:t>
      </w:r>
      <w:r>
        <w:rPr>
          <w:rFonts w:hint="default" w:ascii="Arial" w:hAnsi="Arial" w:eastAsia="SimSun" w:cs="Arial"/>
          <w:kern w:val="0"/>
          <w:sz w:val="22"/>
          <w:szCs w:val="22"/>
          <w:lang w:val="en-US" w:eastAsia="zh-CN" w:bidi="ar"/>
        </w:rPr>
        <w:t>, localizada na Avenida Jamari, n° 4615, Setor 02, Ariquemes/Rondônia, CEP: 76.873-125, fone: (69) 3536-0206, no horário normal de expediente, das 7h30 às 13h30 de segunda à sexta-feira.</w:t>
      </w:r>
    </w:p>
    <w:p>
      <w:pPr>
        <w:keepNext w:val="0"/>
        <w:keepLines w:val="0"/>
        <w:widowControl/>
        <w:suppressLineNumbers w:val="0"/>
        <w:jc w:val="both"/>
      </w:pPr>
      <w:r>
        <w:rPr>
          <w:rFonts w:hint="default" w:ascii="Arial" w:hAnsi="Arial" w:eastAsia="SimSun" w:cs="Arial"/>
          <w:kern w:val="0"/>
          <w:sz w:val="22"/>
          <w:szCs w:val="22"/>
          <w:lang w:val="en-US" w:eastAsia="zh-CN" w:bidi="ar"/>
        </w:rPr>
        <w:t>9.1.2 Todo e qualquer ônus decorrente da entrega do objeto serão de inteira responsabilidade da CONTRATADA.</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9.2.2 </w:t>
      </w:r>
      <w:r>
        <w:rPr>
          <w:rFonts w:hint="default" w:ascii="Courier New" w:hAnsi="Courier New" w:eastAsia="SimSun" w:cs="Courier New"/>
          <w:kern w:val="0"/>
          <w:sz w:val="22"/>
          <w:szCs w:val="22"/>
          <w:lang w:val="en-US" w:eastAsia="zh-CN" w:bidi="ar"/>
        </w:rPr>
        <w:t>O fornecimento/entrega deverá ser efetuado mediante nota de empenho, referenciado na requisição e nota fiscal.</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9.2.3</w:t>
      </w:r>
      <w:r>
        <w:rPr>
          <w:rFonts w:hint="default" w:ascii="Courier New" w:hAnsi="Courier New" w:eastAsia="SimSun" w:cs="Courier New"/>
          <w:kern w:val="0"/>
          <w:sz w:val="22"/>
          <w:szCs w:val="22"/>
          <w:lang w:val="en-US" w:eastAsia="zh-CN" w:bidi="ar"/>
        </w:rPr>
        <w:t> Se o fornecedor vencedor tiver comprovadamente dificuldades para entregar os materiais, dentro do prazo estabelecido, não sofrerá multa, caso informe oficialmente com antecedência de mínimo 10 (dez) dias úteis, antes de esgotado o prazo inicialmente previsto, apresentando justificativa circunstanciada formal, que deverá ser encaminhada ao Departamento de Assistência Farmacêutica do Município de Ariquemes que, por sua vez, decidirá à possibilidade de prorrogação do prazo, ou determinará a cominação das multas cabíveis, que ocorrerá a partir da efetiva notificação;</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9.2.4</w:t>
      </w:r>
      <w:r>
        <w:rPr>
          <w:rFonts w:hint="default" w:ascii="Courier New" w:hAnsi="Courier New" w:eastAsia="SimSun" w:cs="Courier New"/>
          <w:kern w:val="0"/>
          <w:sz w:val="22"/>
          <w:szCs w:val="22"/>
          <w:lang w:val="en-US" w:eastAsia="zh-CN" w:bidi="ar"/>
        </w:rPr>
        <w:t> Depois de esgotado o(s) prazo(s) concedido(s), a Comissão de Recebimento de Materiais e Serviços aplicará a multa por atraso na entrega de 0,5% ao dia até o limite de 10% sobre o valor empenhado, e, entendendo necessário, aplicará as sanções administrativas previstas na Lei 8.666/93, art. 86 a 88.</w:t>
      </w:r>
    </w:p>
    <w:p>
      <w:pPr>
        <w:keepNext w:val="0"/>
        <w:keepLines w:val="0"/>
        <w:widowControl/>
        <w:suppressLineNumbers w:val="0"/>
        <w:jc w:val="both"/>
      </w:pPr>
      <w:r>
        <w:rPr>
          <w:rFonts w:hint="default" w:ascii="Courier New" w:hAnsi="Courier New" w:eastAsia="SimSun" w:cs="Courier New"/>
          <w:kern w:val="0"/>
          <w:sz w:val="22"/>
          <w:szCs w:val="22"/>
          <w:lang w:val="en-US" w:eastAsia="zh-CN" w:bidi="ar"/>
        </w:rPr>
        <w:t> </w:t>
      </w:r>
      <w:r>
        <w:rPr>
          <w:rFonts w:hint="default" w:ascii="Courier New" w:hAnsi="Courier New" w:eastAsia="SimSun" w:cs="Courier New"/>
          <w:b/>
          <w:bCs/>
          <w:kern w:val="0"/>
          <w:sz w:val="22"/>
          <w:szCs w:val="22"/>
          <w:lang w:val="en-US" w:eastAsia="zh-CN" w:bidi="ar"/>
        </w:rPr>
        <w:t>9.3 Condições de Recebimento e Critérios de Aceitabilidades dos Objetos</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9.3.1</w:t>
      </w:r>
      <w:r>
        <w:rPr>
          <w:rFonts w:hint="default" w:ascii="Courier New" w:hAnsi="Courier New" w:eastAsia="SimSun" w:cs="Courier New"/>
          <w:kern w:val="0"/>
          <w:sz w:val="22"/>
          <w:szCs w:val="22"/>
          <w:lang w:val="en-US" w:eastAsia="zh-CN" w:bidi="ar"/>
        </w:rPr>
        <w:t xml:space="preserve"> São de inteira responsabilidade da </w:t>
      </w:r>
      <w:r>
        <w:rPr>
          <w:rFonts w:hint="default" w:ascii="Courier New" w:hAnsi="Courier New" w:eastAsia="SimSun" w:cs="Courier New"/>
          <w:b/>
          <w:bCs/>
          <w:i/>
          <w:iCs/>
          <w:kern w:val="0"/>
          <w:sz w:val="22"/>
          <w:szCs w:val="22"/>
          <w:lang w:val="en-US" w:eastAsia="zh-CN" w:bidi="ar"/>
        </w:rPr>
        <w:t>Secretaria Municipal de Desenvolvimento Social - SEMDES</w:t>
      </w:r>
      <w:r>
        <w:rPr>
          <w:rFonts w:hint="default" w:ascii="Courier New" w:hAnsi="Courier New" w:eastAsia="SimSun" w:cs="Courier New"/>
          <w:i/>
          <w:iCs/>
          <w:kern w:val="0"/>
          <w:sz w:val="22"/>
          <w:szCs w:val="22"/>
          <w:lang w:val="en-US" w:eastAsia="zh-CN" w:bidi="ar"/>
        </w:rPr>
        <w:t> </w:t>
      </w:r>
      <w:r>
        <w:rPr>
          <w:rFonts w:hint="default" w:ascii="Courier New" w:hAnsi="Courier New" w:eastAsia="SimSun" w:cs="Courier New"/>
          <w:kern w:val="0"/>
          <w:sz w:val="22"/>
          <w:szCs w:val="22"/>
          <w:lang w:val="en-US" w:eastAsia="zh-CN" w:bidi="ar"/>
        </w:rPr>
        <w:t xml:space="preserve">os procedimentos de recebimento de  contratação de serviços, por </w:t>
      </w:r>
      <w:r>
        <w:rPr>
          <w:rFonts w:hint="default" w:ascii="Courier New" w:hAnsi="Courier New" w:eastAsia="SimSun" w:cs="Courier New"/>
          <w:b/>
          <w:bCs/>
          <w:i/>
          <w:iCs/>
          <w:kern w:val="0"/>
          <w:sz w:val="22"/>
          <w:szCs w:val="22"/>
          <w:lang w:val="en-US" w:eastAsia="zh-CN" w:bidi="ar"/>
        </w:rPr>
        <w:t>Comissão de Apoio de Recebimento de Serviços - SEMDES</w:t>
      </w:r>
      <w:r>
        <w:rPr>
          <w:rFonts w:hint="default" w:ascii="Courier New" w:hAnsi="Courier New" w:eastAsia="SimSun" w:cs="Courier New"/>
          <w:kern w:val="0"/>
          <w:sz w:val="22"/>
          <w:szCs w:val="22"/>
          <w:lang w:val="en-US" w:eastAsia="zh-CN" w:bidi="ar"/>
        </w:rPr>
        <w:t>, inseridas na estrutura, nomeada através da portaria n.º 001 de janeiro de 2021, a qual goza de autonomia para, dentro das normas e responsabilidades:</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9.3.2</w:t>
      </w:r>
      <w:r>
        <w:rPr>
          <w:rFonts w:hint="default" w:ascii="Courier New" w:hAnsi="Courier New" w:eastAsia="SimSun" w:cs="Courier New"/>
          <w:kern w:val="0"/>
          <w:sz w:val="22"/>
          <w:szCs w:val="22"/>
          <w:lang w:val="en-US" w:eastAsia="zh-CN" w:bidi="ar"/>
        </w:rPr>
        <w:t> A Comissão de Recebimento, fará a conferência da quantidade e qualidade dos objetos entregues, conforme especificações técnicas discriminadas no item 3;</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9.3.3</w:t>
      </w:r>
      <w:r>
        <w:rPr>
          <w:rFonts w:hint="default" w:ascii="Courier New" w:hAnsi="Courier New" w:eastAsia="SimSun" w:cs="Courier New"/>
          <w:kern w:val="0"/>
          <w:sz w:val="22"/>
          <w:szCs w:val="22"/>
          <w:lang w:val="en-US" w:eastAsia="zh-CN" w:bidi="ar"/>
        </w:rPr>
        <w:t> O produto deverá ser entregue de acordo com as especificações técnicas e demais disposições, conforme o item 3 deste Termo de Referência, não sendo permitido à Comissão, receber os materiais fora das especificações pré-definidas, salvo por motivo superveniente, devidamente justificado e aceita;</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9.3.4 </w:t>
      </w:r>
      <w:r>
        <w:rPr>
          <w:rFonts w:hint="default" w:ascii="Courier New" w:hAnsi="Courier New" w:eastAsia="SimSun" w:cs="Courier New"/>
          <w:kern w:val="0"/>
          <w:sz w:val="22"/>
          <w:szCs w:val="22"/>
          <w:lang w:val="en-US" w:eastAsia="zh-CN" w:bidi="ar"/>
        </w:rPr>
        <w:t>Os recebimentos especiais, fora do agendamento serão aceitas, excepcionalmente, desde que não prejudiquem os demais recebimentos agendados, a critério da Secretaria requisitante.</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9.3.5 </w:t>
      </w:r>
      <w:r>
        <w:rPr>
          <w:rFonts w:hint="default" w:ascii="Courier New" w:hAnsi="Courier New" w:eastAsia="SimSun" w:cs="Courier New"/>
          <w:kern w:val="0"/>
          <w:sz w:val="22"/>
          <w:szCs w:val="22"/>
          <w:lang w:val="en-US" w:eastAsia="zh-CN" w:bidi="ar"/>
        </w:rPr>
        <w:t>O prazo de entrega poderá ser prorrogado, por igual período, a critério da Administração, desde que haja justificativa aceitável por parte da contratada.</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9.3.6 </w:t>
      </w:r>
      <w:r>
        <w:rPr>
          <w:rFonts w:hint="default" w:ascii="Courier New" w:hAnsi="Courier New" w:eastAsia="SimSun" w:cs="Courier New"/>
          <w:kern w:val="0"/>
          <w:sz w:val="22"/>
          <w:szCs w:val="22"/>
          <w:lang w:val="en-US" w:eastAsia="zh-CN" w:bidi="ar"/>
        </w:rPr>
        <w:t>O fornecimento do (s) </w:t>
      </w:r>
      <w:r>
        <w:rPr>
          <w:rFonts w:hint="default" w:ascii="Courier New" w:hAnsi="Courier New" w:eastAsia="SimSun" w:cs="Courier New"/>
          <w:b/>
          <w:bCs/>
          <w:kern w:val="0"/>
          <w:sz w:val="22"/>
          <w:szCs w:val="22"/>
          <w:lang w:val="en-US" w:eastAsia="zh-CN" w:bidi="ar"/>
        </w:rPr>
        <w:t>OBJETO</w:t>
      </w:r>
      <w:r>
        <w:rPr>
          <w:rFonts w:hint="default" w:ascii="Courier New" w:hAnsi="Courier New" w:eastAsia="SimSun" w:cs="Courier New"/>
          <w:kern w:val="0"/>
          <w:sz w:val="22"/>
          <w:szCs w:val="22"/>
          <w:lang w:val="en-US" w:eastAsia="zh-CN" w:bidi="ar"/>
        </w:rPr>
        <w:t> (s) se dará à contratada de </w:t>
      </w:r>
      <w:r>
        <w:rPr>
          <w:rFonts w:hint="default" w:ascii="Courier New" w:hAnsi="Courier New" w:eastAsia="SimSun" w:cs="Courier New"/>
          <w:b/>
          <w:bCs/>
          <w:kern w:val="0"/>
          <w:sz w:val="22"/>
          <w:szCs w:val="22"/>
          <w:lang w:val="en-US" w:eastAsia="zh-CN" w:bidi="ar"/>
        </w:rPr>
        <w:t>forma única (Apólices)</w:t>
      </w:r>
      <w:r>
        <w:rPr>
          <w:rFonts w:hint="default" w:ascii="Courier New" w:hAnsi="Courier New" w:eastAsia="SimSun" w:cs="Courier New"/>
          <w:kern w:val="0"/>
          <w:sz w:val="22"/>
          <w:szCs w:val="22"/>
          <w:lang w:val="en-US" w:eastAsia="zh-CN" w:bidi="ar"/>
        </w:rPr>
        <w:t>;</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9.3.7 </w:t>
      </w:r>
      <w:r>
        <w:rPr>
          <w:rFonts w:hint="default" w:ascii="Courier New" w:hAnsi="Courier New" w:eastAsia="SimSun" w:cs="Courier New"/>
          <w:kern w:val="0"/>
          <w:sz w:val="22"/>
          <w:szCs w:val="22"/>
          <w:lang w:val="en-US" w:eastAsia="zh-CN" w:bidi="ar"/>
        </w:rPr>
        <w:t>O não atendimento do prazo fixado do item 9.2.1 implicará em pena de rescisão do termo que instrumentaliza a contração, salvo justificativa fundamentada do fornecedor, com a devida aceitação do ordenador de despesa da unidade orçamentária responsável pela contratação;</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9.3.8 </w:t>
      </w:r>
      <w:r>
        <w:rPr>
          <w:rFonts w:hint="default" w:ascii="Courier New" w:hAnsi="Courier New" w:eastAsia="SimSun" w:cs="Courier New"/>
          <w:kern w:val="0"/>
          <w:sz w:val="22"/>
          <w:szCs w:val="22"/>
          <w:lang w:val="en-US" w:eastAsia="zh-CN" w:bidi="ar"/>
        </w:rPr>
        <w:t>Feita à entrega pela contratada o contratante por intermédio da </w:t>
      </w:r>
      <w:r>
        <w:rPr>
          <w:rFonts w:hint="default" w:ascii="Courier New" w:hAnsi="Courier New" w:eastAsia="Times New Roman" w:cs="Courier New"/>
          <w:kern w:val="0"/>
          <w:sz w:val="22"/>
          <w:szCs w:val="22"/>
          <w:lang w:val="en-US" w:eastAsia="zh-CN" w:bidi="ar"/>
        </w:rPr>
        <w:t>COMISSÃO DE RECEBIMENTO, CONTROLE, ALIENAÇÃO E BAIXA DE BENS PERMANENTES DO PATRIMÔNIO GERAL DO MUNICÍPIO, Nomeados através da P</w:t>
      </w:r>
      <w:r>
        <w:rPr>
          <w:rFonts w:hint="default" w:ascii="Courier New" w:hAnsi="Courier New" w:eastAsia="SimSun" w:cs="Courier New"/>
          <w:kern w:val="0"/>
          <w:sz w:val="22"/>
          <w:szCs w:val="22"/>
          <w:lang w:val="en-US" w:eastAsia="zh-CN" w:bidi="ar"/>
        </w:rPr>
        <w:t>ortaria nº 141, de março de 2021</w:t>
      </w:r>
      <w:r>
        <w:rPr>
          <w:rFonts w:hint="default" w:ascii="Courier New" w:hAnsi="Courier New" w:eastAsia="Times New Roman" w:cs="Courier New"/>
          <w:kern w:val="0"/>
          <w:sz w:val="22"/>
          <w:szCs w:val="22"/>
          <w:lang w:val="en-US" w:eastAsia="zh-CN" w:bidi="ar"/>
        </w:rPr>
        <w:t xml:space="preserve"> com </w:t>
      </w:r>
      <w:r>
        <w:rPr>
          <w:rFonts w:hint="default" w:ascii="Courier New" w:hAnsi="Courier New" w:eastAsia="SimSun" w:cs="Courier New"/>
          <w:kern w:val="0"/>
          <w:sz w:val="22"/>
          <w:szCs w:val="22"/>
          <w:lang w:val="en-US" w:eastAsia="zh-CN" w:bidi="ar"/>
        </w:rPr>
        <w:t>as especificações estabelecidas no presente Termo de Referência.</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9.3.9 </w:t>
      </w:r>
      <w:r>
        <w:rPr>
          <w:rFonts w:hint="default" w:ascii="Courier New" w:hAnsi="Courier New" w:eastAsia="SimSun" w:cs="Courier New"/>
          <w:kern w:val="0"/>
          <w:sz w:val="22"/>
          <w:szCs w:val="22"/>
          <w:lang w:val="en-US" w:eastAsia="zh-CN" w:bidi="ar"/>
        </w:rPr>
        <w:t>O recebimento e aceitação dos materiais serão observados as especificações contidas neste termo de referência e no edital e as disposições contidas nos Artigos de 73 a 76, da Lei Federal nº 8.666/93, modificada pela Lei nº. 8883/94, o objeto da presente será recebido:</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9.3.9.1 </w:t>
      </w:r>
      <w:r>
        <w:rPr>
          <w:rFonts w:hint="default" w:ascii="Courier New" w:hAnsi="Courier New" w:eastAsia="SimSun" w:cs="Courier New"/>
          <w:b/>
          <w:bCs/>
          <w:kern w:val="0"/>
          <w:sz w:val="22"/>
          <w:szCs w:val="22"/>
          <w:u w:val="single"/>
          <w:lang w:val="en-US" w:eastAsia="zh-CN" w:bidi="ar"/>
        </w:rPr>
        <w:t>Recebimento Provisório</w:t>
      </w:r>
      <w:r>
        <w:rPr>
          <w:rFonts w:hint="default" w:ascii="Courier New" w:hAnsi="Courier New" w:eastAsia="SimSun" w:cs="Courier New"/>
          <w:kern w:val="0"/>
          <w:sz w:val="22"/>
          <w:szCs w:val="22"/>
          <w:lang w:val="en-US" w:eastAsia="zh-CN" w:bidi="ar"/>
        </w:rPr>
        <w:t> (art. 73, II, a, da Lei 8.666/93) - imediatamente depois de efetuada a entrega, consiste na mera contagem física das embalagens para posterior verificação da qualidade e quantidade do material e consequente aceitação, será firmado pela </w:t>
      </w:r>
      <w:r>
        <w:rPr>
          <w:rFonts w:hint="default" w:ascii="Courier New" w:hAnsi="Courier New" w:eastAsia="SimSun" w:cs="Courier New"/>
          <w:b/>
          <w:bCs/>
          <w:i/>
          <w:iCs/>
          <w:kern w:val="0"/>
          <w:sz w:val="22"/>
          <w:szCs w:val="22"/>
          <w:lang w:val="en-US" w:eastAsia="zh-CN" w:bidi="ar"/>
        </w:rPr>
        <w:t>Comissão de Apoio de Recebimento de Serviços - SEMDES</w:t>
      </w:r>
      <w:r>
        <w:rPr>
          <w:rFonts w:hint="default" w:ascii="Courier New" w:hAnsi="Courier New" w:eastAsia="SimSun" w:cs="Courier New"/>
          <w:kern w:val="0"/>
          <w:sz w:val="22"/>
          <w:szCs w:val="22"/>
          <w:lang w:val="en-US" w:eastAsia="zh-CN" w:bidi="ar"/>
        </w:rPr>
        <w:t>, em prazo não superior a 05 (cinco) dias corridos. O recebimento provisório será comprovado pelo carimbo de certifico aposto no verso da nota fiscal devidamente chancelado e identificado. O recebimento provisório NÃO liquida a despesa e NÃO se presta para autorizar o pagamento dos bens. A comissão irá lavrar o termo de recebimento provisório, para efeito de posterior verificação da conformidade dos produtos com as especificações da aquisição;</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9.3.9.2 </w:t>
      </w:r>
      <w:r>
        <w:rPr>
          <w:rFonts w:hint="default" w:ascii="Courier New" w:hAnsi="Courier New" w:eastAsia="SimSun" w:cs="Courier New"/>
          <w:kern w:val="0"/>
          <w:sz w:val="22"/>
          <w:szCs w:val="22"/>
          <w:lang w:val="en-US" w:eastAsia="zh-CN" w:bidi="ar"/>
        </w:rPr>
        <w:t>A comissão</w:t>
      </w:r>
      <w:r>
        <w:rPr>
          <w:rFonts w:hint="default" w:ascii="Courier New" w:hAnsi="Courier New" w:eastAsia="SimSun" w:cs="Courier New"/>
          <w:b/>
          <w:bCs/>
          <w:kern w:val="0"/>
          <w:sz w:val="22"/>
          <w:szCs w:val="22"/>
          <w:lang w:val="en-US" w:eastAsia="zh-CN" w:bidi="ar"/>
        </w:rPr>
        <w:t> </w:t>
      </w:r>
      <w:r>
        <w:rPr>
          <w:rFonts w:hint="default" w:ascii="Courier New" w:hAnsi="Courier New" w:eastAsia="SimSun" w:cs="Courier New"/>
          <w:kern w:val="0"/>
          <w:sz w:val="22"/>
          <w:szCs w:val="22"/>
          <w:lang w:val="en-US" w:eastAsia="zh-CN" w:bidi="ar"/>
        </w:rPr>
        <w:t>fiscalizará a entrega </w:t>
      </w:r>
      <w:r>
        <w:rPr>
          <w:rFonts w:hint="default" w:ascii="Courier New" w:hAnsi="Courier New" w:eastAsia="SimSun" w:cs="Courier New"/>
          <w:b/>
          <w:bCs/>
          <w:i/>
          <w:iCs/>
          <w:kern w:val="0"/>
          <w:sz w:val="22"/>
          <w:szCs w:val="22"/>
          <w:u w:val="single"/>
          <w:lang w:val="en-US" w:eastAsia="zh-CN" w:bidi="ar"/>
        </w:rPr>
        <w:t>podendo sustar ou recusar o(s) material(is) entregue(s) em desacordo</w:t>
      </w:r>
      <w:r>
        <w:rPr>
          <w:rFonts w:hint="default" w:ascii="Courier New" w:hAnsi="Courier New" w:eastAsia="SimSun" w:cs="Courier New"/>
          <w:kern w:val="0"/>
          <w:sz w:val="22"/>
          <w:szCs w:val="22"/>
          <w:lang w:val="en-US" w:eastAsia="zh-CN" w:bidi="ar"/>
        </w:rPr>
        <w:t> com a especificação apresentada;</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9.3.9.3</w:t>
      </w:r>
      <w:r>
        <w:rPr>
          <w:rFonts w:hint="default" w:ascii="Courier New" w:hAnsi="Courier New" w:eastAsia="SimSun" w:cs="Courier New"/>
          <w:kern w:val="0"/>
          <w:sz w:val="22"/>
          <w:szCs w:val="22"/>
          <w:lang w:val="en-US" w:eastAsia="zh-CN" w:bidi="ar"/>
        </w:rPr>
        <w:t> A comissão deverá comunicar e notificar por escrito e de forma tempestiva, à(s) CONTRATADA(s) sobre qualquer ocorrência relacionada com a entrega dos materiais e ou nota fiscal.</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9.3.9.4</w:t>
      </w:r>
      <w:r>
        <w:rPr>
          <w:rFonts w:hint="default" w:ascii="Courier New" w:hAnsi="Courier New" w:eastAsia="SimSun" w:cs="Courier New"/>
          <w:kern w:val="0"/>
          <w:sz w:val="22"/>
          <w:szCs w:val="22"/>
          <w:lang w:val="en-US" w:eastAsia="zh-CN" w:bidi="ar"/>
        </w:rPr>
        <w:t> O recebimento suprarreferido dar-se-á através de recibo aposto na nota fiscal/fatura, quando da sua entrega;</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9.3.9.5 Recebimento Definitivo</w:t>
      </w:r>
      <w:r>
        <w:rPr>
          <w:rFonts w:hint="default" w:ascii="Courier New" w:hAnsi="Courier New" w:eastAsia="SimSun" w:cs="Courier New"/>
          <w:kern w:val="0"/>
          <w:sz w:val="22"/>
          <w:szCs w:val="22"/>
          <w:lang w:val="en-US" w:eastAsia="zh-CN" w:bidi="ar"/>
        </w:rPr>
        <w:t> (art. 73, II, b, da Lei 8.666/93) - que consiste na verificação da qualidade e quantidade dos bens e de sua aceitação, será firmado pela da </w:t>
      </w:r>
      <w:r>
        <w:rPr>
          <w:rFonts w:hint="default" w:ascii="Courier New" w:hAnsi="Courier New" w:eastAsia="Times New Roman" w:cs="Courier New"/>
          <w:kern w:val="0"/>
          <w:sz w:val="22"/>
          <w:szCs w:val="22"/>
          <w:lang w:val="en-US" w:eastAsia="zh-CN" w:bidi="ar"/>
        </w:rPr>
        <w:t>COMISSÃO DE RECEBIMENTO, CONTROLE, ALIENAÇÃO E BAIXA DE BENS PERMANENTES DO PATRIMÔNIO GERAL DO MUNICÍPIO, Nomeados através da P</w:t>
      </w:r>
      <w:r>
        <w:rPr>
          <w:rFonts w:hint="default" w:ascii="Courier New" w:hAnsi="Courier New" w:eastAsia="SimSun" w:cs="Courier New"/>
          <w:kern w:val="0"/>
          <w:sz w:val="22"/>
          <w:szCs w:val="22"/>
          <w:lang w:val="en-US" w:eastAsia="zh-CN" w:bidi="ar"/>
        </w:rPr>
        <w:t>ortaria nº 141, de março de 2021</w:t>
      </w:r>
      <w:r>
        <w:rPr>
          <w:rFonts w:hint="default" w:ascii="Courier New" w:hAnsi="Courier New" w:eastAsia="SimSun" w:cs="Courier New"/>
          <w:b/>
          <w:bCs/>
          <w:i/>
          <w:iCs/>
          <w:kern w:val="0"/>
          <w:sz w:val="22"/>
          <w:szCs w:val="22"/>
          <w:lang w:val="en-US" w:eastAsia="zh-CN" w:bidi="ar"/>
        </w:rPr>
        <w:t>,</w:t>
      </w:r>
      <w:r>
        <w:rPr>
          <w:rFonts w:hint="default" w:ascii="Courier New" w:hAnsi="Courier New" w:eastAsia="SimSun" w:cs="Courier New"/>
          <w:kern w:val="0"/>
          <w:sz w:val="22"/>
          <w:szCs w:val="22"/>
          <w:lang w:val="en-US" w:eastAsia="zh-CN" w:bidi="ar"/>
        </w:rPr>
        <w:t> que expedirá recibo próprio (termo de recebimento definitivo), em prazo não superior a 10 (dez) dias corridos, salvo caso devidamente justificado, liquidando a despesa, comprovando a adequação do objeto nos termos contratuais e consequente aceitação mediante a termo de recebimento definitivo;</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9.3.10 </w:t>
      </w:r>
      <w:r>
        <w:rPr>
          <w:rFonts w:hint="default" w:ascii="Courier New" w:hAnsi="Courier New" w:eastAsia="SimSun" w:cs="Courier New"/>
          <w:kern w:val="0"/>
          <w:sz w:val="22"/>
          <w:szCs w:val="22"/>
          <w:lang w:val="en-US" w:eastAsia="zh-CN" w:bidi="ar"/>
        </w:rPr>
        <w:t>O recebimento definitivo dar-se-á mediante a </w:t>
      </w:r>
      <w:r>
        <w:rPr>
          <w:rFonts w:hint="default" w:ascii="Courier New" w:hAnsi="Courier New" w:eastAsia="SimSun" w:cs="Courier New"/>
          <w:b/>
          <w:bCs/>
          <w:kern w:val="0"/>
          <w:sz w:val="22"/>
          <w:szCs w:val="22"/>
          <w:lang w:val="en-US" w:eastAsia="zh-CN" w:bidi="ar"/>
        </w:rPr>
        <w:t>termo de recebimento definitivo</w:t>
      </w:r>
      <w:r>
        <w:rPr>
          <w:rFonts w:hint="default" w:ascii="Courier New" w:hAnsi="Courier New" w:eastAsia="SimSun" w:cs="Courier New"/>
          <w:kern w:val="0"/>
          <w:sz w:val="22"/>
          <w:szCs w:val="22"/>
          <w:lang w:val="en-US" w:eastAsia="zh-CN" w:bidi="ar"/>
        </w:rPr>
        <w:t> e posterior certificação na Nota Fiscal, autorizando assim o pagamento.</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9.3.11 </w:t>
      </w:r>
      <w:r>
        <w:rPr>
          <w:rFonts w:hint="default" w:ascii="Courier New" w:hAnsi="Courier New" w:eastAsia="SimSun" w:cs="Courier New"/>
          <w:kern w:val="0"/>
          <w:sz w:val="22"/>
          <w:szCs w:val="22"/>
          <w:lang w:val="en-US" w:eastAsia="zh-CN" w:bidi="ar"/>
        </w:rPr>
        <w:t>Se, após o recebimento provisório, for constatado que os materiais foram entregues de forma incompleta, com qualidade e quantidade inferior à contratada, em desacordo com as especificações da aquisição, o contratado se obriga, substituir os bens em desacordo ou entregar os bens remanescentes às suas expensas, após a notificação do contratado. Será interrompido o prazo de recebimento definitivo e suspenso o prazo de pagamento até que seja sanada a situação.</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9.3.12 </w:t>
      </w:r>
      <w:r>
        <w:rPr>
          <w:rFonts w:hint="default" w:ascii="Courier New" w:hAnsi="Courier New" w:eastAsia="SimSun" w:cs="Courier New"/>
          <w:kern w:val="0"/>
          <w:sz w:val="22"/>
          <w:szCs w:val="22"/>
          <w:lang w:val="en-US" w:eastAsia="zh-CN" w:bidi="ar"/>
        </w:rPr>
        <w:t>A contratada deverá reparar, corrigir, remover, reconstituir ou substituir, às suas expensas, os materiais que forem rejeitados, parcial ou totalmente, por apresentarem vícios, defeitos ou incorreções, no prazo máximo de 72 (setenta e duas) horas.</w:t>
      </w:r>
    </w:p>
    <w:p>
      <w:pPr>
        <w:keepNext w:val="0"/>
        <w:keepLines w:val="0"/>
        <w:widowControl/>
        <w:suppressLineNumbers w:val="0"/>
        <w:jc w:val="both"/>
      </w:pP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CLÁUSULA DÉCIMA DAS OBRIGAÇÕES DA CONTRATADA E CONTRATANTE</w:t>
      </w:r>
    </w:p>
    <w:p>
      <w:pPr>
        <w:keepNext w:val="0"/>
        <w:keepLines w:val="0"/>
        <w:widowControl/>
        <w:suppressLineNumbers w:val="0"/>
        <w:jc w:val="both"/>
      </w:pPr>
      <w:r>
        <w:rPr>
          <w:rFonts w:hint="default" w:ascii="Courier New" w:hAnsi="Courier New" w:eastAsia="Times New Roman" w:cs="Courier New"/>
          <w:kern w:val="0"/>
          <w:sz w:val="22"/>
          <w:szCs w:val="22"/>
          <w:lang w:val="en-US" w:eastAsia="zh-CN" w:bidi="ar"/>
        </w:rPr>
        <w:t>As obrigações da contratada e contratante são aquelas previstas no Edital e no Termo de Referência.</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Parágrafo Primeiro</w:t>
      </w:r>
      <w:r>
        <w:rPr>
          <w:rFonts w:hint="default" w:ascii="Courier New" w:hAnsi="Courier New" w:eastAsia="Times New Roman" w:cs="Courier New"/>
          <w:kern w:val="0"/>
          <w:sz w:val="22"/>
          <w:szCs w:val="22"/>
          <w:lang w:val="en-US" w:eastAsia="zh-CN" w:bidi="ar"/>
        </w:rPr>
        <w:t>: A contratada manterá durante toda a execução do contrato, em compatibilidade com as obrigações por ele assumidas, todas as condições de habilitação e qualificação exigidas na licitação</w:t>
      </w:r>
    </w:p>
    <w:p>
      <w:pPr>
        <w:keepNext w:val="0"/>
        <w:keepLines w:val="0"/>
        <w:widowControl/>
        <w:suppressLineNumbers w:val="0"/>
        <w:jc w:val="both"/>
      </w:pP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CLÁUSULA DÉCIMA PRIMEIRA DAS SANÇÕES ADMINISTRATIVAS</w:t>
      </w:r>
    </w:p>
    <w:p>
      <w:pPr>
        <w:keepNext w:val="0"/>
        <w:keepLines w:val="0"/>
        <w:widowControl/>
        <w:suppressLineNumbers w:val="0"/>
        <w:jc w:val="both"/>
      </w:pPr>
      <w:r>
        <w:rPr>
          <w:rFonts w:hint="default" w:ascii="Courier New" w:hAnsi="Courier New" w:eastAsia="Times New Roman" w:cs="Courier New"/>
          <w:kern w:val="0"/>
          <w:sz w:val="22"/>
          <w:szCs w:val="22"/>
          <w:lang w:val="en-US" w:eastAsia="zh-CN" w:bidi="ar"/>
        </w:rPr>
        <w:t>As sanções referentes à execução do contrato são aquelas previstas no Edital e no Termo de Referência.</w:t>
      </w:r>
    </w:p>
    <w:p>
      <w:pPr>
        <w:keepNext w:val="0"/>
        <w:keepLines w:val="0"/>
        <w:widowControl/>
        <w:suppressLineNumbers w:val="0"/>
        <w:jc w:val="both"/>
      </w:pP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CLÁUSULA DÉCIMA SEGUNDA DA RESCISÃO</w:t>
      </w:r>
    </w:p>
    <w:p>
      <w:pPr>
        <w:keepNext w:val="0"/>
        <w:keepLines w:val="0"/>
        <w:widowControl/>
        <w:suppressLineNumbers w:val="0"/>
        <w:jc w:val="both"/>
      </w:pPr>
      <w:r>
        <w:rPr>
          <w:rFonts w:hint="default" w:ascii="Courier New" w:hAnsi="Courier New" w:eastAsia="Times New Roman" w:cs="Courier New"/>
          <w:kern w:val="0"/>
          <w:sz w:val="22"/>
          <w:szCs w:val="22"/>
          <w:lang w:val="en-US" w:eastAsia="zh-CN" w:bidi="ar"/>
        </w:rPr>
        <w:t>O presente Termo de Contrato poderá ser rescindido nas hipóteses previstas no art. 77, 78 e 79 da Lei nº 8.666, de 1993, com as consequências indicadas no art. 80 da mesma Lei, sem prejuízo das sanções aplicáveis.</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 xml:space="preserve">Parágrafo Primeiro: </w:t>
      </w:r>
      <w:r>
        <w:rPr>
          <w:rFonts w:hint="default" w:ascii="Courier New" w:hAnsi="Courier New" w:eastAsia="Times New Roman" w:cs="Courier New"/>
          <w:kern w:val="0"/>
          <w:sz w:val="22"/>
          <w:szCs w:val="22"/>
          <w:lang w:val="en-US" w:eastAsia="zh-CN" w:bidi="ar"/>
        </w:rPr>
        <w:t>A inexecução total ou parcial do contrato enseja a sua rescisão, com as consequências contratuais e as previstas em lei ou regulamento administrativo;</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Parágrafo Segundo:</w:t>
      </w:r>
      <w:r>
        <w:rPr>
          <w:rFonts w:hint="default" w:ascii="Courier New" w:hAnsi="Courier New" w:eastAsia="Times New Roman" w:cs="Courier New"/>
          <w:kern w:val="0"/>
          <w:sz w:val="22"/>
          <w:szCs w:val="22"/>
          <w:lang w:val="en-US" w:eastAsia="zh-CN" w:bidi="ar"/>
        </w:rPr>
        <w:t xml:space="preserve"> A CONTRATADA reconhece os direitos da CONTRATANTE nos casos de rescisão dos Art. 77 a 80 da lei 8.666/93.</w:t>
      </w:r>
    </w:p>
    <w:p>
      <w:pPr>
        <w:keepNext w:val="0"/>
        <w:keepLines w:val="0"/>
        <w:widowControl/>
        <w:suppressLineNumbers w:val="0"/>
        <w:jc w:val="both"/>
      </w:pP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CLÁUSULA DÉCIMA TERCEIRA DOS CASOS OMISSOS</w:t>
      </w:r>
    </w:p>
    <w:p>
      <w:pPr>
        <w:keepNext w:val="0"/>
        <w:keepLines w:val="0"/>
        <w:widowControl/>
        <w:suppressLineNumbers w:val="0"/>
        <w:jc w:val="both"/>
      </w:pPr>
      <w:r>
        <w:rPr>
          <w:rFonts w:hint="default" w:ascii="Courier New" w:hAnsi="Courier New" w:eastAsia="Times New Roman" w:cs="Courier New"/>
          <w:kern w:val="0"/>
          <w:sz w:val="22"/>
          <w:szCs w:val="22"/>
          <w:lang w:val="en-US" w:eastAsia="zh-CN" w:bidi="ar"/>
        </w:rPr>
        <w:t>Os casos omissos serão decididos pela Contratante, segundo as disposições contidas na Lei 8666/93 e na Lei 10.520/02 e demais normas federais e municipais de licitações e contratos administrativos, e, subsidiariamente segundo as disposições da Lei 8.078/90 (CDC), normas e princípios gerais dos contratos, Edital, Termo de Referência e proposta apresentada.</w:t>
      </w:r>
    </w:p>
    <w:p>
      <w:pPr>
        <w:keepNext w:val="0"/>
        <w:keepLines w:val="0"/>
        <w:widowControl/>
        <w:suppressLineNumbers w:val="0"/>
        <w:jc w:val="both"/>
      </w:pPr>
      <w:r>
        <w:rPr>
          <w:rFonts w:hint="default" w:ascii="Courier New" w:hAnsi="Courier New" w:eastAsia="Times New Roman" w:cs="Courier New"/>
          <w:kern w:val="0"/>
          <w:sz w:val="22"/>
          <w:szCs w:val="22"/>
          <w:lang w:val="en-US" w:eastAsia="zh-CN" w:bidi="ar"/>
        </w:rPr>
        <w:t>Fiscal do Contrato: .......</w:t>
      </w:r>
    </w:p>
    <w:p>
      <w:pPr>
        <w:keepNext w:val="0"/>
        <w:keepLines w:val="0"/>
        <w:widowControl/>
        <w:suppressLineNumbers w:val="0"/>
        <w:jc w:val="both"/>
      </w:pP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CLÁUSULA DÉCIMA QUARTA DA PUBLICAÇÃO</w:t>
      </w:r>
    </w:p>
    <w:p>
      <w:pPr>
        <w:keepNext w:val="0"/>
        <w:keepLines w:val="0"/>
        <w:widowControl/>
        <w:suppressLineNumbers w:val="0"/>
        <w:jc w:val="both"/>
      </w:pPr>
      <w:r>
        <w:rPr>
          <w:rFonts w:hint="default" w:ascii="Courier New" w:hAnsi="Courier New" w:eastAsia="Times New Roman" w:cs="Courier New"/>
          <w:kern w:val="0"/>
          <w:sz w:val="22"/>
          <w:szCs w:val="22"/>
          <w:lang w:val="en-US" w:eastAsia="zh-CN" w:bidi="ar"/>
        </w:rPr>
        <w:t>Incumbirá à contratante providenciar a publicação deste instrumento, por extrato, na imprensa oficial, no prazo previsto na Lei 8666/93.</w:t>
      </w:r>
    </w:p>
    <w:p>
      <w:pPr>
        <w:keepNext w:val="0"/>
        <w:keepLines w:val="0"/>
        <w:widowControl/>
        <w:suppressLineNumbers w:val="0"/>
        <w:jc w:val="both"/>
      </w:pP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CLÁUSULA DÉCIMA QUINTA DO FORO</w:t>
      </w:r>
    </w:p>
    <w:p>
      <w:pPr>
        <w:keepNext w:val="0"/>
        <w:keepLines w:val="0"/>
        <w:widowControl/>
        <w:suppressLineNumbers w:val="0"/>
        <w:jc w:val="both"/>
      </w:pPr>
      <w:r>
        <w:rPr>
          <w:rFonts w:hint="default" w:ascii="Courier New" w:hAnsi="Courier New" w:eastAsia="Times New Roman" w:cs="Courier New"/>
          <w:kern w:val="0"/>
          <w:sz w:val="22"/>
          <w:szCs w:val="22"/>
          <w:lang w:val="en-US" w:eastAsia="zh-CN" w:bidi="ar"/>
        </w:rPr>
        <w:t>O foro para solucionar os litígios que decorrem da execução deste contrato será a Justiça Estadual da Comarca de Ariquemes/RO.</w:t>
      </w:r>
    </w:p>
    <w:p>
      <w:pPr>
        <w:keepNext w:val="0"/>
        <w:keepLines w:val="0"/>
        <w:widowControl/>
        <w:suppressLineNumbers w:val="0"/>
        <w:jc w:val="both"/>
      </w:pPr>
      <w:r>
        <w:rPr>
          <w:rFonts w:hint="default" w:ascii="Courier New" w:hAnsi="Courier New" w:eastAsia="Times New Roman" w:cs="Courier New"/>
          <w:kern w:val="0"/>
          <w:sz w:val="22"/>
          <w:szCs w:val="22"/>
          <w:lang w:val="en-US" w:eastAsia="zh-CN" w:bidi="ar"/>
        </w:rPr>
        <w:t>Para firmeza e validade do pactuado, o presente Termo de Contrato foi lavrado em duas (duas) vias de igual teor, que, depois de lido e achado em ordem, vai assinado pelos contraentes.</w:t>
      </w:r>
    </w:p>
    <w:p>
      <w:pPr>
        <w:keepNext w:val="0"/>
        <w:keepLines w:val="0"/>
        <w:widowControl/>
        <w:suppressLineNumbers w:val="0"/>
        <w:jc w:val="right"/>
      </w:pPr>
      <w:r>
        <w:rPr>
          <w:rFonts w:hint="default" w:ascii="Courier New" w:hAnsi="Courier New" w:eastAsia="Times New Roman" w:cs="Courier New"/>
          <w:kern w:val="0"/>
          <w:sz w:val="22"/>
          <w:szCs w:val="22"/>
          <w:lang w:val="en-US" w:eastAsia="zh-CN" w:bidi="ar"/>
        </w:rPr>
        <w:t>Ariquemes/RO, .....de ....................... de 202....</w:t>
      </w:r>
    </w:p>
    <w:p>
      <w:pPr>
        <w:keepNext w:val="0"/>
        <w:keepLines w:val="0"/>
        <w:widowControl/>
        <w:suppressLineNumbers w:val="0"/>
        <w:jc w:val="right"/>
      </w:pPr>
      <w:r>
        <w:rPr>
          <w:rFonts w:hint="default" w:ascii="Courier New" w:hAnsi="Courier New" w:eastAsia="SimSun" w:cs="Courier New"/>
          <w:kern w:val="0"/>
          <w:sz w:val="22"/>
          <w:szCs w:val="22"/>
          <w:lang w:val="en-US" w:eastAsia="zh-CN" w:bidi="ar"/>
        </w:rPr>
        <w:t> </w:t>
      </w:r>
    </w:p>
    <w:tbl>
      <w:tblPr>
        <w:tblStyle w:val="12"/>
        <w:tblW w:w="0" w:type="auto"/>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4635"/>
        <w:gridCol w:w="46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0" w:type="dxa"/>
        </w:trPr>
        <w:tc>
          <w:tcPr>
            <w:tcW w:w="4635" w:type="dxa"/>
            <w:shd w:val="clear" w:color="auto" w:fill="auto"/>
            <w:vAlign w:val="top"/>
          </w:tcPr>
          <w:p>
            <w:pPr>
              <w:pStyle w:val="29"/>
              <w:keepNext w:val="0"/>
              <w:keepLines w:val="0"/>
              <w:widowControl/>
              <w:suppressLineNumbers w:val="0"/>
              <w:spacing w:before="0" w:beforeAutospacing="1" w:after="0" w:afterAutospacing="1"/>
              <w:ind w:left="0" w:right="0"/>
              <w:jc w:val="center"/>
            </w:pPr>
            <w:r>
              <w:rPr>
                <w:rFonts w:hint="default" w:ascii="Courier New" w:hAnsi="Courier New" w:cs="Courier New"/>
                <w:sz w:val="22"/>
                <w:szCs w:val="22"/>
              </w:rPr>
              <w:t> </w:t>
            </w:r>
          </w:p>
        </w:tc>
        <w:tc>
          <w:tcPr>
            <w:tcW w:w="4650" w:type="dxa"/>
            <w:tcBorders>
              <w:left w:val="nil"/>
            </w:tcBorders>
            <w:shd w:val="clear" w:color="auto" w:fill="auto"/>
            <w:vAlign w:val="top"/>
          </w:tcPr>
          <w:p>
            <w:pPr>
              <w:pStyle w:val="29"/>
              <w:keepNext w:val="0"/>
              <w:keepLines w:val="0"/>
              <w:widowControl/>
              <w:suppressLineNumbers w:val="0"/>
              <w:spacing w:before="0" w:beforeAutospacing="1" w:after="0" w:afterAutospacing="1"/>
              <w:ind w:left="0" w:right="0"/>
            </w:pPr>
            <w:r>
              <w:rPr>
                <w:rFonts w:hint="default" w:ascii="Courier New" w:hAnsi="Courier New" w:cs="Courier New"/>
                <w:sz w:val="22"/>
                <w:szCs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0" w:type="dxa"/>
        </w:trPr>
        <w:tc>
          <w:tcPr>
            <w:tcW w:w="4635" w:type="dxa"/>
            <w:tcBorders>
              <w:top w:val="nil"/>
            </w:tcBorders>
            <w:shd w:val="clear" w:color="auto" w:fill="auto"/>
            <w:vAlign w:val="top"/>
          </w:tcPr>
          <w:p>
            <w:pPr>
              <w:pStyle w:val="29"/>
              <w:keepNext w:val="0"/>
              <w:keepLines w:val="0"/>
              <w:widowControl/>
              <w:suppressLineNumbers w:val="0"/>
              <w:spacing w:before="0" w:beforeAutospacing="1" w:after="0" w:afterAutospacing="1"/>
              <w:ind w:left="0" w:right="0"/>
              <w:jc w:val="center"/>
            </w:pPr>
            <w:r>
              <w:rPr>
                <w:rFonts w:hint="default" w:ascii="Courier New" w:hAnsi="Courier New" w:eastAsia="Times New Roman" w:cs="Courier New"/>
                <w:sz w:val="22"/>
                <w:szCs w:val="22"/>
              </w:rPr>
              <w:t xml:space="preserve">Sec Municipal de Assistência Social Ariquemes </w:t>
            </w:r>
            <w:r>
              <w:rPr>
                <w:rFonts w:hint="default" w:ascii="Courier New" w:hAnsi="Courier New" w:cs="Courier New"/>
                <w:b/>
                <w:bCs/>
                <w:sz w:val="22"/>
                <w:szCs w:val="22"/>
              </w:rPr>
              <w:t>CONTRATANTE</w:t>
            </w:r>
          </w:p>
        </w:tc>
        <w:tc>
          <w:tcPr>
            <w:tcW w:w="4650" w:type="dxa"/>
            <w:tcBorders>
              <w:top w:val="nil"/>
              <w:left w:val="nil"/>
            </w:tcBorders>
            <w:shd w:val="clear" w:color="auto" w:fill="auto"/>
            <w:vAlign w:val="top"/>
          </w:tcPr>
          <w:p>
            <w:pPr>
              <w:pStyle w:val="29"/>
              <w:keepNext w:val="0"/>
              <w:keepLines w:val="0"/>
              <w:widowControl/>
              <w:suppressLineNumbers w:val="0"/>
              <w:spacing w:before="0" w:beforeAutospacing="1" w:after="0" w:afterAutospacing="1"/>
              <w:ind w:left="0" w:right="0"/>
              <w:jc w:val="center"/>
            </w:pPr>
            <w:r>
              <w:rPr>
                <w:rFonts w:hint="default" w:ascii="Courier New" w:hAnsi="Courier New" w:eastAsia="Times New Roman" w:cs="Courier New"/>
                <w:sz w:val="22"/>
                <w:szCs w:val="22"/>
              </w:rPr>
              <w:t xml:space="preserve">Representante   </w:t>
            </w:r>
            <w:r>
              <w:rPr>
                <w:rFonts w:hint="default" w:ascii="Courier New" w:hAnsi="Courier New" w:cs="Courier New"/>
                <w:b/>
                <w:bCs/>
                <w:sz w:val="22"/>
                <w:szCs w:val="22"/>
              </w:rPr>
              <w:t xml:space="preserve">CNPJ nº </w:t>
            </w:r>
          </w:p>
        </w:tc>
      </w:tr>
    </w:tbl>
    <w:p>
      <w:pPr>
        <w:keepNext w:val="0"/>
        <w:keepLines w:val="0"/>
        <w:widowControl/>
        <w:suppressLineNumbers w:val="0"/>
        <w:jc w:val="center"/>
      </w:pPr>
      <w:r>
        <w:rPr>
          <w:rFonts w:hint="default" w:ascii="Courier New" w:hAnsi="Courier New" w:eastAsia="SimSun" w:cs="Courier New"/>
          <w:kern w:val="0"/>
          <w:sz w:val="22"/>
          <w:szCs w:val="22"/>
          <w:lang w:val="en-US" w:eastAsia="zh-CN" w:bidi="ar"/>
        </w:rPr>
        <w:t> </w:t>
      </w:r>
    </w:p>
    <w:p>
      <w:pPr>
        <w:keepNext w:val="0"/>
        <w:keepLines w:val="0"/>
        <w:widowControl/>
        <w:suppressLineNumbers w:val="0"/>
        <w:jc w:val="both"/>
      </w:pPr>
      <w:r>
        <w:rPr>
          <w:rFonts w:hint="default" w:ascii="Courier New" w:hAnsi="Courier New" w:eastAsia="SimSun" w:cs="Courier New"/>
          <w:b/>
          <w:bCs/>
          <w:kern w:val="0"/>
          <w:sz w:val="22"/>
          <w:szCs w:val="22"/>
          <w:lang w:val="en-US" w:eastAsia="zh-CN" w:bidi="ar"/>
        </w:rPr>
        <w:t xml:space="preserve">Testemunhas: </w:t>
      </w:r>
    </w:p>
    <w:p>
      <w:pPr>
        <w:keepNext w:val="0"/>
        <w:keepLines w:val="0"/>
        <w:widowControl/>
        <w:suppressLineNumbers w:val="0"/>
        <w:jc w:val="left"/>
      </w:pPr>
      <w:r>
        <w:rPr>
          <w:rFonts w:hint="default" w:ascii="Courier New" w:hAnsi="Courier New" w:eastAsia="SimSun" w:cs="Courier New"/>
          <w:kern w:val="0"/>
          <w:sz w:val="22"/>
          <w:szCs w:val="22"/>
          <w:lang w:val="en-US" w:eastAsia="zh-CN" w:bidi="ar"/>
        </w:rPr>
        <w:t>____________________________________________________</w:t>
      </w:r>
    </w:p>
    <w:p>
      <w:pPr>
        <w:keepNext w:val="0"/>
        <w:keepLines w:val="0"/>
        <w:widowControl/>
        <w:suppressLineNumbers w:val="0"/>
        <w:jc w:val="left"/>
      </w:pPr>
      <w:r>
        <w:rPr>
          <w:rFonts w:ascii="SimSun" w:hAnsi="SimSun" w:eastAsia="SimSun" w:cs="SimSun"/>
          <w:kern w:val="0"/>
          <w:sz w:val="24"/>
          <w:szCs w:val="24"/>
          <w:lang w:val="en-US" w:eastAsia="zh-CN" w:bidi="ar"/>
        </w:rPr>
        <w:t> </w:t>
      </w:r>
    </w:p>
    <w:p>
      <w:pPr>
        <w:keepNext w:val="0"/>
        <w:keepLines w:val="0"/>
        <w:widowControl/>
        <w:suppressLineNumbers w:val="0"/>
      </w:pPr>
      <w:r>
        <w:pict>
          <v:rect id="_x0000_i1030" o:spt="1" style="height:1.5pt;width:432pt;" fillcolor="#A0A0A0" filled="t" stroked="f" coordsize="21600,21600" o:hr="t" o:hrstd="t" o:hralign="center">
            <v:path/>
            <v:fill on="t" focussize="0,0"/>
            <v:stroke on="f"/>
            <v:imagedata o:title=""/>
            <o:lock v:ext="edit"/>
            <w10:wrap type="none"/>
            <w10:anchorlock/>
          </v:rect>
        </w:pict>
      </w:r>
    </w:p>
    <w:p>
      <w:pPr>
        <w:keepNext w:val="0"/>
        <w:keepLines w:val="0"/>
        <w:widowControl/>
        <w:suppressLineNumbers w:val="0"/>
        <w:jc w:val="center"/>
      </w:pPr>
      <w:r>
        <w:rPr>
          <w:rFonts w:ascii="SimSun" w:hAnsi="SimSun" w:eastAsia="SimSun" w:cs="SimSun"/>
          <w:kern w:val="0"/>
          <w:sz w:val="18"/>
          <w:szCs w:val="18"/>
          <w:lang w:val="en-US" w:eastAsia="zh-CN" w:bidi="ar"/>
        </w:rPr>
        <w:t>Av. Tancredo Neves, 2166 - Setor Institucional - Ariquemes/RO CEP: 76.872-854</w:t>
      </w:r>
      <w:r>
        <w:rPr>
          <w:rFonts w:ascii="SimSun" w:hAnsi="SimSun" w:eastAsia="SimSun" w:cs="SimSun"/>
          <w:kern w:val="0"/>
          <w:sz w:val="18"/>
          <w:szCs w:val="18"/>
          <w:lang w:val="en-US" w:eastAsia="zh-CN" w:bidi="ar"/>
        </w:rPr>
        <w:br w:type="textWrapping"/>
      </w:r>
      <w:r>
        <w:rPr>
          <w:rFonts w:ascii="SimSun" w:hAnsi="SimSun" w:eastAsia="SimSun" w:cs="SimSun"/>
          <w:kern w:val="0"/>
          <w:sz w:val="18"/>
          <w:szCs w:val="18"/>
          <w:lang w:val="en-US" w:eastAsia="zh-CN" w:bidi="ar"/>
        </w:rPr>
        <w:t>Contato: (69) 3516-2000 - Site: www.ariquemes.ro.gov.br - CNPJ: 04.104.816/0001-16</w:t>
      </w:r>
    </w:p>
    <w:p>
      <w:pPr>
        <w:keepNext w:val="0"/>
        <w:keepLines w:val="0"/>
        <w:widowControl/>
        <w:suppressLineNumbers w:val="0"/>
        <w:spacing w:before="0" w:beforeAutospacing="0" w:after="60" w:afterAutospacing="0"/>
        <w:ind w:left="0" w:right="0"/>
      </w:pPr>
      <w:r>
        <w:pict>
          <v:rect id="_x0000_i1031" o:spt="1" style="height:1.5pt;width:432pt;" fillcolor="#A0A0A0" filled="t" stroked="f" coordsize="21600,21600" o:hr="t" o:hrstd="t" o:hralign="center">
            <v:path/>
            <v:fill on="t" focussize="0,0"/>
            <v:stroke on="f"/>
            <v:imagedata o:title=""/>
            <o:lock v:ext="edit"/>
            <w10:wrap type="none"/>
            <w10:anchorlock/>
          </v:rect>
        </w:pict>
      </w:r>
    </w:p>
    <w:tbl>
      <w:tblPr>
        <w:tblStyle w:val="12"/>
        <w:tblW w:w="0" w:type="auto"/>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695"/>
        <w:gridCol w:w="84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blCellSpacing w:w="15" w:type="dxa"/>
        </w:trPr>
        <w:tc>
          <w:tcPr>
            <w:tcW w:w="0" w:type="auto"/>
            <w:shd w:val="clear" w:color="auto" w:fill="auto"/>
            <w:vAlign w:val="center"/>
          </w:tcPr>
          <w:p>
            <w:pPr>
              <w:keepNext w:val="0"/>
              <w:keepLines w:val="0"/>
              <w:widowControl/>
              <w:suppressLineNumbers w:val="0"/>
              <w:jc w:val="left"/>
            </w:pPr>
            <w:r>
              <w:rPr>
                <w:rFonts w:ascii="SimSun" w:hAnsi="SimSun" w:eastAsia="SimSun" w:cs="SimSun"/>
                <w:kern w:val="0"/>
                <w:sz w:val="24"/>
                <w:szCs w:val="24"/>
                <w:lang w:val="en-US" w:eastAsia="zh-CN" w:bidi="ar"/>
              </w:rPr>
              <w:drawing>
                <wp:inline distT="0" distB="0" distL="114300" distR="114300">
                  <wp:extent cx="1019175" cy="419100"/>
                  <wp:effectExtent l="0" t="0" r="9525" b="0"/>
                  <wp:docPr id="2" name="Imagem 8" descr="[C6AC530CEA66D14353E3DF6C01AD7468-CCA8DB63971B9D172213398D2379E04246A5D137EA61C7963F6FC637532AD5A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8" descr="[C6AC530CEA66D14353E3DF6C01AD7468-CCA8DB63971B9D172213398D2379E04246A5D137EA61C7963F6FC637532AD5AF]"/>
                          <pic:cNvPicPr>
                            <a:picLocks noChangeAspect="1"/>
                          </pic:cNvPicPr>
                        </pic:nvPicPr>
                        <pic:blipFill>
                          <a:blip r:embed="rId7"/>
                          <a:stretch>
                            <a:fillRect/>
                          </a:stretch>
                        </pic:blipFill>
                        <pic:spPr>
                          <a:xfrm>
                            <a:off x="0" y="0"/>
                            <a:ext cx="1019175" cy="419100"/>
                          </a:xfrm>
                          <a:prstGeom prst="rect">
                            <a:avLst/>
                          </a:prstGeom>
                          <a:noFill/>
                          <a:ln w="9525">
                            <a:noFill/>
                          </a:ln>
                        </pic:spPr>
                      </pic:pic>
                    </a:graphicData>
                  </a:graphic>
                </wp:inline>
              </w:drawing>
            </w:r>
          </w:p>
        </w:tc>
        <w:tc>
          <w:tcPr>
            <w:tcW w:w="0" w:type="auto"/>
            <w:shd w:val="clear" w:color="auto" w:fill="auto"/>
            <w:vAlign w:val="center"/>
          </w:tcPr>
          <w:p>
            <w:pPr>
              <w:pStyle w:val="29"/>
              <w:keepNext w:val="0"/>
              <w:keepLines w:val="0"/>
              <w:widowControl/>
              <w:suppressLineNumbers w:val="0"/>
              <w:spacing w:before="0" w:beforeAutospacing="0" w:after="0" w:afterAutospacing="0"/>
              <w:ind w:left="0" w:right="0"/>
              <w:jc w:val="both"/>
              <w:rPr>
                <w:rFonts w:hint="default" w:ascii="Arial" w:hAnsi="Arial" w:cs="Arial"/>
                <w:sz w:val="20"/>
                <w:szCs w:val="20"/>
              </w:rPr>
            </w:pPr>
            <w:r>
              <w:rPr>
                <w:rFonts w:hint="default" w:ascii="Arial" w:hAnsi="Arial" w:cs="Arial"/>
                <w:sz w:val="20"/>
                <w:szCs w:val="20"/>
              </w:rPr>
              <w:t xml:space="preserve">Documento assinado eletronicamente por </w:t>
            </w:r>
            <w:r>
              <w:rPr>
                <w:rFonts w:hint="default" w:ascii="Arial" w:hAnsi="Arial" w:cs="Arial"/>
                <w:b/>
                <w:bCs/>
                <w:sz w:val="20"/>
                <w:szCs w:val="20"/>
              </w:rPr>
              <w:t>LEONOR SCHRAMMEL</w:t>
            </w:r>
            <w:r>
              <w:rPr>
                <w:rFonts w:hint="default" w:ascii="Arial" w:hAnsi="Arial" w:cs="Arial"/>
                <w:sz w:val="20"/>
                <w:szCs w:val="20"/>
              </w:rPr>
              <w:t xml:space="preserve">, </w:t>
            </w:r>
            <w:r>
              <w:rPr>
                <w:rFonts w:hint="default" w:ascii="Arial" w:hAnsi="Arial" w:cs="Arial"/>
                <w:b/>
                <w:bCs/>
                <w:sz w:val="20"/>
                <w:szCs w:val="20"/>
              </w:rPr>
              <w:t>Procurador jurídico</w:t>
            </w:r>
            <w:r>
              <w:rPr>
                <w:rFonts w:hint="default" w:ascii="Arial" w:hAnsi="Arial" w:cs="Arial"/>
                <w:sz w:val="20"/>
                <w:szCs w:val="20"/>
              </w:rPr>
              <w:t xml:space="preserve">, em 08/12/2021 às 16:59, horário de Ariquemes/RO, com fulcro no art. 18 do </w:t>
            </w:r>
            <w:r>
              <w:rPr>
                <w:rFonts w:hint="default" w:ascii="Arial" w:hAnsi="Arial" w:cs="Arial"/>
                <w:sz w:val="20"/>
                <w:szCs w:val="20"/>
              </w:rPr>
              <w:fldChar w:fldCharType="begin"/>
            </w:r>
            <w:r>
              <w:rPr>
                <w:rFonts w:hint="default" w:ascii="Arial" w:hAnsi="Arial" w:cs="Arial"/>
                <w:sz w:val="20"/>
                <w:szCs w:val="20"/>
              </w:rPr>
              <w:instrText xml:space="preserve"> HYPERLINK "http://transparencia.ariquemes.ro.gov.br/transparencia/aplicacoes/publicacao/download.php?id_doc=022182" \o "Consulte o Decreto" \t "http://eproc.ariquemes.ro.gov.br:5658/eproc/_blank" </w:instrText>
            </w:r>
            <w:r>
              <w:rPr>
                <w:rFonts w:hint="default" w:ascii="Arial" w:hAnsi="Arial" w:cs="Arial"/>
                <w:sz w:val="20"/>
                <w:szCs w:val="20"/>
              </w:rPr>
              <w:fldChar w:fldCharType="separate"/>
            </w:r>
            <w:r>
              <w:rPr>
                <w:rStyle w:val="19"/>
                <w:rFonts w:hint="default" w:ascii="Arial" w:hAnsi="Arial" w:cs="Arial"/>
                <w:sz w:val="20"/>
                <w:szCs w:val="20"/>
              </w:rPr>
              <w:t>Decreto nº 16.426 de 16/04/2020.</w:t>
            </w:r>
            <w:r>
              <w:rPr>
                <w:rFonts w:hint="default" w:ascii="Arial" w:hAnsi="Arial" w:cs="Arial"/>
                <w:sz w:val="20"/>
                <w:szCs w:val="20"/>
              </w:rPr>
              <w:fldChar w:fldCharType="end"/>
            </w:r>
            <w:r>
              <w:rPr>
                <w:rFonts w:hint="default" w:ascii="Arial" w:hAnsi="Arial" w:cs="Arial"/>
                <w:sz w:val="20"/>
                <w:szCs w:val="20"/>
              </w:rPr>
              <w:t xml:space="preserve"> </w:t>
            </w:r>
          </w:p>
        </w:tc>
      </w:tr>
    </w:tbl>
    <w:p>
      <w:pPr>
        <w:keepNext w:val="0"/>
        <w:keepLines w:val="0"/>
        <w:widowControl/>
        <w:suppressLineNumbers w:val="0"/>
        <w:spacing w:before="0" w:beforeAutospacing="0" w:after="60" w:afterAutospacing="0"/>
        <w:ind w:left="0" w:right="0"/>
      </w:pPr>
      <w:r>
        <w:rPr>
          <w:sz w:val="24"/>
          <w:szCs w:val="24"/>
        </w:rPr>
        <w:pict>
          <v:rect id="_x0000_i1032" o:spt="1" style="height:1.5pt;width:432pt;" fillcolor="#A0A0A0" filled="t" stroked="f" coordsize="21600,21600" o:hr="t" o:hrstd="t" o:hralign="center">
            <v:path/>
            <v:fill on="t" focussize="0,0"/>
            <v:stroke on="f"/>
            <v:imagedata o:title=""/>
            <o:lock v:ext="edit"/>
            <w10:wrap type="none"/>
            <w10:anchorlock/>
          </v:rect>
        </w:pict>
      </w:r>
    </w:p>
    <w:tbl>
      <w:tblPr>
        <w:tblStyle w:val="12"/>
        <w:tblW w:w="0" w:type="auto"/>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825"/>
        <w:gridCol w:w="92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pPr>
              <w:keepNext w:val="0"/>
              <w:keepLines w:val="0"/>
              <w:widowControl/>
              <w:suppressLineNumbers w:val="0"/>
              <w:jc w:val="left"/>
            </w:pPr>
            <w:r>
              <w:rPr>
                <w:rFonts w:ascii="SimSun" w:hAnsi="SimSun" w:eastAsia="SimSun" w:cs="SimSun"/>
                <w:kern w:val="0"/>
                <w:sz w:val="24"/>
                <w:szCs w:val="24"/>
                <w:lang w:val="en-US" w:eastAsia="zh-CN" w:bidi="ar"/>
              </w:rPr>
              <w:drawing>
                <wp:inline distT="0" distB="0" distL="114300" distR="114300">
                  <wp:extent cx="466725" cy="466725"/>
                  <wp:effectExtent l="0" t="0" r="9525" b="9525"/>
                  <wp:docPr id="4" name="Imagem 10" descr="QRC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10" descr="QRCode"/>
                          <pic:cNvPicPr>
                            <a:picLocks noChangeAspect="1"/>
                          </pic:cNvPicPr>
                        </pic:nvPicPr>
                        <pic:blipFill>
                          <a:blip r:embed="rId10"/>
                          <a:stretch>
                            <a:fillRect/>
                          </a:stretch>
                        </pic:blipFill>
                        <pic:spPr>
                          <a:xfrm>
                            <a:off x="0" y="0"/>
                            <a:ext cx="466725" cy="466725"/>
                          </a:xfrm>
                          <a:prstGeom prst="rect">
                            <a:avLst/>
                          </a:prstGeom>
                          <a:noFill/>
                          <a:ln w="9525">
                            <a:noFill/>
                          </a:ln>
                        </pic:spPr>
                      </pic:pic>
                    </a:graphicData>
                  </a:graphic>
                </wp:inline>
              </w:drawing>
            </w:r>
          </w:p>
        </w:tc>
        <w:tc>
          <w:tcPr>
            <w:tcW w:w="0" w:type="auto"/>
            <w:shd w:val="clear" w:color="auto" w:fill="auto"/>
            <w:vAlign w:val="center"/>
          </w:tcPr>
          <w:p>
            <w:pPr>
              <w:pStyle w:val="29"/>
              <w:keepNext w:val="0"/>
              <w:keepLines w:val="0"/>
              <w:widowControl/>
              <w:suppressLineNumbers w:val="0"/>
              <w:spacing w:before="0" w:beforeAutospacing="0" w:after="0" w:afterAutospacing="0"/>
              <w:ind w:left="0" w:right="0"/>
              <w:jc w:val="both"/>
              <w:rPr>
                <w:rFonts w:hint="default" w:ascii="Arial" w:hAnsi="Arial" w:cs="Arial"/>
                <w:sz w:val="20"/>
                <w:szCs w:val="20"/>
              </w:rPr>
            </w:pPr>
            <w:r>
              <w:rPr>
                <w:rFonts w:hint="default" w:ascii="Arial" w:hAnsi="Arial" w:cs="Arial"/>
                <w:sz w:val="20"/>
                <w:szCs w:val="20"/>
              </w:rPr>
              <w:t xml:space="preserve">A autenticidade deste documento pode ser conferida no site </w:t>
            </w:r>
            <w:r>
              <w:rPr>
                <w:rFonts w:hint="default" w:ascii="Arial" w:hAnsi="Arial" w:cs="Arial"/>
                <w:sz w:val="20"/>
                <w:szCs w:val="20"/>
              </w:rPr>
              <w:fldChar w:fldCharType="begin"/>
            </w:r>
            <w:r>
              <w:rPr>
                <w:rFonts w:hint="default" w:ascii="Arial" w:hAnsi="Arial" w:cs="Arial"/>
                <w:sz w:val="20"/>
                <w:szCs w:val="20"/>
              </w:rPr>
              <w:instrText xml:space="preserve"> HYPERLINK "http://transparencia.ariquemes.ro.gov.br/transparencia/aplicacoes/protocolo/consulta_documento.php?CdDocto=655380&amp;CRC32=C7315336" \o "Verificação de Autenticidade" \t "http://eproc.ariquemes.ro.gov.br:5658/eproc/_blank" </w:instrText>
            </w:r>
            <w:r>
              <w:rPr>
                <w:rFonts w:hint="default" w:ascii="Arial" w:hAnsi="Arial" w:cs="Arial"/>
                <w:sz w:val="20"/>
                <w:szCs w:val="20"/>
              </w:rPr>
              <w:fldChar w:fldCharType="separate"/>
            </w:r>
            <w:r>
              <w:rPr>
                <w:rStyle w:val="19"/>
                <w:rFonts w:hint="default" w:ascii="Arial" w:hAnsi="Arial" w:cs="Arial"/>
                <w:sz w:val="20"/>
                <w:szCs w:val="20"/>
              </w:rPr>
              <w:t>transparencia.ariquemes.ro.gov.br</w:t>
            </w:r>
            <w:r>
              <w:rPr>
                <w:rFonts w:hint="default" w:ascii="Arial" w:hAnsi="Arial" w:cs="Arial"/>
                <w:sz w:val="20"/>
                <w:szCs w:val="20"/>
              </w:rPr>
              <w:fldChar w:fldCharType="end"/>
            </w:r>
            <w:r>
              <w:rPr>
                <w:rFonts w:hint="default" w:ascii="Arial" w:hAnsi="Arial" w:cs="Arial"/>
                <w:sz w:val="20"/>
                <w:szCs w:val="20"/>
              </w:rPr>
              <w:t xml:space="preserve">, informando o ID </w:t>
            </w:r>
            <w:r>
              <w:rPr>
                <w:rFonts w:hint="default" w:ascii="Arial" w:hAnsi="Arial" w:cs="Arial"/>
                <w:b/>
                <w:bCs/>
                <w:sz w:val="20"/>
                <w:szCs w:val="20"/>
              </w:rPr>
              <w:t>655380</w:t>
            </w:r>
            <w:r>
              <w:rPr>
                <w:rFonts w:hint="default" w:ascii="Arial" w:hAnsi="Arial" w:cs="Arial"/>
                <w:sz w:val="20"/>
                <w:szCs w:val="20"/>
              </w:rPr>
              <w:t xml:space="preserve"> e o código verificador </w:t>
            </w:r>
            <w:r>
              <w:rPr>
                <w:rFonts w:hint="default" w:ascii="Arial" w:hAnsi="Arial" w:cs="Arial"/>
                <w:b/>
                <w:bCs/>
                <w:sz w:val="20"/>
                <w:szCs w:val="20"/>
              </w:rPr>
              <w:t>C7315336</w:t>
            </w:r>
            <w:r>
              <w:rPr>
                <w:rFonts w:hint="default" w:ascii="Arial" w:hAnsi="Arial" w:cs="Arial"/>
                <w:sz w:val="20"/>
                <w:szCs w:val="20"/>
              </w:rPr>
              <w:t xml:space="preserve">. </w:t>
            </w:r>
          </w:p>
        </w:tc>
      </w:tr>
    </w:tbl>
    <w:p>
      <w:pPr>
        <w:keepNext w:val="0"/>
        <w:keepLines w:val="0"/>
        <w:widowControl/>
        <w:suppressLineNumbers w:val="0"/>
        <w:spacing w:before="0" w:beforeAutospacing="0" w:after="60" w:afterAutospacing="0"/>
        <w:ind w:left="0" w:right="0"/>
      </w:pPr>
      <w:r>
        <w:rPr>
          <w:sz w:val="24"/>
          <w:szCs w:val="24"/>
        </w:rPr>
        <w:pict>
          <v:rect id="_x0000_i1033" o:spt="1" style="height:1.5pt;width:432pt;" fillcolor="#A0A0A0" filled="t" stroked="f" coordsize="21600,21600" o:hr="t" o:hrstd="t" o:hralign="center">
            <v:path/>
            <v:fill on="t" focussize="0,0"/>
            <v:stroke on="f"/>
            <v:imagedata o:title=""/>
            <o:lock v:ext="edit"/>
            <w10:wrap type="none"/>
            <w10:anchorlock/>
          </v:rect>
        </w:pict>
      </w:r>
    </w:p>
    <w:tbl>
      <w:tblPr>
        <w:tblStyle w:val="12"/>
        <w:tblW w:w="5000" w:type="pct"/>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30" w:type="dxa"/>
          <w:left w:w="30" w:type="dxa"/>
          <w:bottom w:w="30" w:type="dxa"/>
          <w:right w:w="30" w:type="dxa"/>
        </w:tblCellMar>
      </w:tblPr>
      <w:tblGrid>
        <w:gridCol w:w="8058"/>
        <w:gridCol w:w="20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0" w:type="dxa"/>
            <w:left w:w="30" w:type="dxa"/>
            <w:bottom w:w="30" w:type="dxa"/>
            <w:right w:w="30" w:type="dxa"/>
          </w:tblCellMar>
        </w:tblPrEx>
        <w:trPr>
          <w:tblCellSpacing w:w="0" w:type="dxa"/>
        </w:trPr>
        <w:tc>
          <w:tcPr>
            <w:tcW w:w="4000" w:type="pct"/>
            <w:tcBorders>
              <w:top w:val="nil"/>
              <w:left w:val="nil"/>
              <w:bottom w:val="nil"/>
              <w:right w:val="nil"/>
            </w:tcBorders>
            <w:shd w:val="clear" w:color="auto" w:fill="auto"/>
            <w:vAlign w:val="center"/>
          </w:tcPr>
          <w:p>
            <w:pPr>
              <w:keepNext w:val="0"/>
              <w:keepLines w:val="0"/>
              <w:widowControl/>
              <w:suppressLineNumbers w:val="0"/>
              <w:jc w:val="left"/>
              <w:rPr>
                <w:rFonts w:hint="default" w:ascii="Arial" w:hAnsi="Arial" w:cs="Arial"/>
                <w:sz w:val="18"/>
                <w:szCs w:val="18"/>
              </w:rPr>
            </w:pPr>
            <w:r>
              <w:rPr>
                <w:rStyle w:val="14"/>
                <w:rFonts w:hint="default" w:ascii="Arial" w:hAnsi="Arial" w:eastAsia="SimSun" w:cs="Arial"/>
                <w:kern w:val="0"/>
                <w:sz w:val="18"/>
                <w:szCs w:val="18"/>
                <w:lang w:val="en-US" w:eastAsia="zh-CN" w:bidi="ar"/>
              </w:rPr>
              <w:t>Referência:</w:t>
            </w:r>
            <w:r>
              <w:rPr>
                <w:rFonts w:hint="default" w:ascii="Arial" w:hAnsi="Arial" w:eastAsia="SimSun" w:cs="Arial"/>
                <w:kern w:val="0"/>
                <w:sz w:val="18"/>
                <w:szCs w:val="18"/>
                <w:lang w:val="en-US" w:eastAsia="zh-CN" w:bidi="ar"/>
              </w:rPr>
              <w:t xml:space="preserve"> </w:t>
            </w:r>
            <w:r>
              <w:rPr>
                <w:rFonts w:hint="default" w:ascii="Arial" w:hAnsi="Arial" w:eastAsia="SimSun" w:cs="Arial"/>
                <w:kern w:val="0"/>
                <w:sz w:val="18"/>
                <w:szCs w:val="18"/>
                <w:lang w:val="en-US" w:eastAsia="zh-CN" w:bidi="ar"/>
              </w:rPr>
              <w:fldChar w:fldCharType="begin"/>
            </w:r>
            <w:r>
              <w:rPr>
                <w:rFonts w:hint="default" w:ascii="Arial" w:hAnsi="Arial" w:eastAsia="SimSun" w:cs="Arial"/>
                <w:kern w:val="0"/>
                <w:sz w:val="18"/>
                <w:szCs w:val="18"/>
                <w:lang w:val="en-US" w:eastAsia="zh-CN" w:bidi="ar"/>
              </w:rPr>
              <w:instrText xml:space="preserve"> HYPERLINK "http://transparencia.ariquemes.ro.gov.br/transparencia/servicos/index.php?link=aplicacoes/protocolo/viewproc&amp;PkProcesso=205032" \o "Visualizar Processo" \t "http://eproc.ariquemes.ro.gov.br:5658/eproc/_blank" </w:instrText>
            </w:r>
            <w:r>
              <w:rPr>
                <w:rFonts w:hint="default" w:ascii="Arial" w:hAnsi="Arial" w:eastAsia="SimSun" w:cs="Arial"/>
                <w:kern w:val="0"/>
                <w:sz w:val="18"/>
                <w:szCs w:val="18"/>
                <w:lang w:val="en-US" w:eastAsia="zh-CN" w:bidi="ar"/>
              </w:rPr>
              <w:fldChar w:fldCharType="separate"/>
            </w:r>
            <w:r>
              <w:rPr>
                <w:rStyle w:val="19"/>
                <w:rFonts w:hint="default" w:ascii="Arial" w:hAnsi="Arial" w:eastAsia="SimSun" w:cs="Arial"/>
                <w:sz w:val="18"/>
                <w:szCs w:val="18"/>
              </w:rPr>
              <w:t>Processo nº 8-2883/2021</w:t>
            </w:r>
            <w:r>
              <w:rPr>
                <w:rFonts w:hint="default" w:ascii="Arial" w:hAnsi="Arial" w:eastAsia="SimSun" w:cs="Arial"/>
                <w:kern w:val="0"/>
                <w:sz w:val="18"/>
                <w:szCs w:val="18"/>
                <w:lang w:val="en-US" w:eastAsia="zh-CN" w:bidi="ar"/>
              </w:rPr>
              <w:fldChar w:fldCharType="end"/>
            </w:r>
            <w:r>
              <w:rPr>
                <w:rFonts w:hint="default" w:ascii="Arial" w:hAnsi="Arial" w:eastAsia="SimSun" w:cs="Arial"/>
                <w:kern w:val="0"/>
                <w:sz w:val="18"/>
                <w:szCs w:val="18"/>
                <w:lang w:val="en-US" w:eastAsia="zh-CN" w:bidi="ar"/>
              </w:rPr>
              <w:t>.</w:t>
            </w:r>
          </w:p>
        </w:tc>
        <w:tc>
          <w:tcPr>
            <w:tcW w:w="1000" w:type="pct"/>
            <w:tcBorders>
              <w:top w:val="nil"/>
              <w:left w:val="nil"/>
              <w:bottom w:val="nil"/>
              <w:right w:val="nil"/>
            </w:tcBorders>
            <w:shd w:val="clear" w:color="auto" w:fill="auto"/>
            <w:vAlign w:val="center"/>
          </w:tcPr>
          <w:p>
            <w:pPr>
              <w:keepNext w:val="0"/>
              <w:keepLines w:val="0"/>
              <w:widowControl/>
              <w:suppressLineNumbers w:val="0"/>
              <w:jc w:val="right"/>
              <w:rPr>
                <w:rFonts w:hint="default" w:ascii="Arial" w:hAnsi="Arial" w:cs="Arial"/>
                <w:sz w:val="18"/>
                <w:szCs w:val="18"/>
              </w:rPr>
            </w:pPr>
            <w:r>
              <w:rPr>
                <w:rFonts w:hint="default" w:ascii="Arial" w:hAnsi="Arial" w:eastAsia="SimSun" w:cs="Arial"/>
                <w:kern w:val="0"/>
                <w:sz w:val="18"/>
                <w:szCs w:val="18"/>
                <w:lang w:val="en-US" w:eastAsia="zh-CN" w:bidi="ar"/>
              </w:rPr>
              <w:t xml:space="preserve">Docto ID: 655380 v1 </w:t>
            </w:r>
          </w:p>
        </w:tc>
      </w:tr>
    </w:tbl>
    <w:p>
      <w:pPr>
        <w:rPr>
          <w:rFonts w:ascii="Century Gothic" w:hAnsi="Century Gothic" w:cs="Arial"/>
          <w:sz w:val="16"/>
          <w:szCs w:val="16"/>
        </w:rPr>
      </w:pPr>
    </w:p>
    <w:p>
      <w:pPr>
        <w:rPr>
          <w:rFonts w:ascii="Century Gothic" w:hAnsi="Century Gothic" w:cs="Arial"/>
          <w:sz w:val="16"/>
          <w:szCs w:val="16"/>
        </w:rPr>
      </w:pPr>
    </w:p>
    <w:p>
      <w:pPr>
        <w:rPr>
          <w:rFonts w:ascii="Century Gothic" w:hAnsi="Century Gothic" w:cs="Arial"/>
          <w:sz w:val="16"/>
          <w:szCs w:val="16"/>
        </w:rPr>
      </w:pPr>
    </w:p>
    <w:p>
      <w:pPr>
        <w:rPr>
          <w:rFonts w:ascii="Century Gothic" w:hAnsi="Century Gothic" w:cs="Arial"/>
          <w:sz w:val="16"/>
          <w:szCs w:val="16"/>
        </w:rPr>
      </w:pPr>
    </w:p>
    <w:p>
      <w:pPr>
        <w:rPr>
          <w:rFonts w:ascii="Century Gothic" w:hAnsi="Century Gothic" w:cs="Arial"/>
          <w:sz w:val="16"/>
          <w:szCs w:val="16"/>
        </w:rPr>
      </w:pPr>
    </w:p>
    <w:p>
      <w:pPr>
        <w:rPr>
          <w:rFonts w:ascii="Century Gothic" w:hAnsi="Century Gothic" w:cs="Arial"/>
          <w:sz w:val="16"/>
          <w:szCs w:val="16"/>
        </w:rPr>
      </w:pPr>
    </w:p>
    <w:p>
      <w:pPr>
        <w:rPr>
          <w:rFonts w:ascii="Century Gothic" w:hAnsi="Century Gothic" w:cs="Arial"/>
          <w:sz w:val="16"/>
          <w:szCs w:val="16"/>
        </w:rPr>
      </w:pPr>
    </w:p>
    <w:p>
      <w:pPr>
        <w:rPr>
          <w:rFonts w:ascii="Century Gothic" w:hAnsi="Century Gothic" w:cs="Arial"/>
          <w:sz w:val="16"/>
          <w:szCs w:val="16"/>
        </w:rPr>
      </w:pPr>
    </w:p>
    <w:p>
      <w:pPr>
        <w:rPr>
          <w:rFonts w:ascii="Century Gothic" w:hAnsi="Century Gothic" w:cs="Arial"/>
          <w:sz w:val="16"/>
          <w:szCs w:val="16"/>
        </w:rPr>
      </w:pPr>
    </w:p>
    <w:p>
      <w:pPr>
        <w:rPr>
          <w:rFonts w:ascii="Century Gothic" w:hAnsi="Century Gothic" w:cs="Arial"/>
          <w:sz w:val="16"/>
          <w:szCs w:val="16"/>
        </w:rPr>
      </w:pPr>
    </w:p>
    <w:p>
      <w:pPr>
        <w:rPr>
          <w:rFonts w:ascii="Century Gothic" w:hAnsi="Century Gothic" w:cs="Arial"/>
          <w:sz w:val="16"/>
          <w:szCs w:val="16"/>
        </w:rPr>
      </w:pPr>
    </w:p>
    <w:p>
      <w:pPr>
        <w:rPr>
          <w:rFonts w:ascii="Century Gothic" w:hAnsi="Century Gothic" w:cs="Arial"/>
          <w:sz w:val="16"/>
          <w:szCs w:val="16"/>
        </w:rPr>
      </w:pPr>
    </w:p>
    <w:p>
      <w:pPr>
        <w:rPr>
          <w:rFonts w:ascii="Century Gothic" w:hAnsi="Century Gothic" w:cs="Arial"/>
          <w:sz w:val="16"/>
          <w:szCs w:val="16"/>
        </w:rPr>
      </w:pPr>
    </w:p>
    <w:p>
      <w:pPr>
        <w:rPr>
          <w:rFonts w:ascii="Century Gothic" w:hAnsi="Century Gothic" w:cs="Arial"/>
          <w:sz w:val="16"/>
          <w:szCs w:val="16"/>
        </w:rPr>
      </w:pPr>
    </w:p>
    <w:p>
      <w:pPr>
        <w:rPr>
          <w:rFonts w:ascii="Century Gothic" w:hAnsi="Century Gothic" w:cs="Arial"/>
          <w:sz w:val="16"/>
          <w:szCs w:val="16"/>
        </w:rPr>
      </w:pPr>
    </w:p>
    <w:p>
      <w:pPr>
        <w:rPr>
          <w:rFonts w:ascii="Century Gothic" w:hAnsi="Century Gothic" w:cs="Arial"/>
          <w:sz w:val="16"/>
          <w:szCs w:val="16"/>
        </w:rPr>
      </w:pPr>
    </w:p>
    <w:p>
      <w:pPr>
        <w:rPr>
          <w:rFonts w:ascii="Century Gothic" w:hAnsi="Century Gothic" w:cs="Arial"/>
          <w:sz w:val="16"/>
          <w:szCs w:val="16"/>
        </w:rPr>
      </w:pPr>
    </w:p>
    <w:p>
      <w:pPr>
        <w:rPr>
          <w:rFonts w:ascii="Century Gothic" w:hAnsi="Century Gothic" w:cs="Arial"/>
          <w:sz w:val="16"/>
          <w:szCs w:val="16"/>
        </w:rPr>
      </w:pPr>
    </w:p>
    <w:p>
      <w:pPr>
        <w:rPr>
          <w:rFonts w:ascii="Century Gothic" w:hAnsi="Century Gothic" w:cs="Arial"/>
          <w:sz w:val="16"/>
          <w:szCs w:val="16"/>
        </w:rPr>
      </w:pPr>
    </w:p>
    <w:p>
      <w:pPr>
        <w:pBdr>
          <w:top w:val="single" w:color="auto" w:sz="4" w:space="1"/>
          <w:left w:val="single" w:color="auto" w:sz="4" w:space="4"/>
          <w:bottom w:val="single" w:color="auto" w:sz="4" w:space="1"/>
          <w:right w:val="single" w:color="auto" w:sz="4" w:space="4"/>
        </w:pBdr>
        <w:shd w:val="clear" w:color="auto" w:fill="CCCCCC"/>
        <w:autoSpaceDE w:val="0"/>
        <w:autoSpaceDN w:val="0"/>
        <w:adjustRightInd w:val="0"/>
        <w:jc w:val="center"/>
        <w:rPr>
          <w:rFonts w:ascii="Book Antiqua" w:hAnsi="Book Antiqua"/>
          <w:color w:val="0000FF"/>
        </w:rPr>
      </w:pPr>
      <w:r>
        <w:rPr>
          <w:rFonts w:ascii="Book Antiqua" w:hAnsi="Book Antiqua"/>
          <w:b/>
          <w:bCs/>
          <w:color w:val="0000FF"/>
          <w:sz w:val="24"/>
          <w:szCs w:val="24"/>
        </w:rPr>
        <w:t xml:space="preserve">PREGÃO ELETRÔNICO N.º </w:t>
      </w:r>
      <w:r>
        <w:rPr>
          <w:rFonts w:hint="default" w:ascii="Book Antiqua" w:hAnsi="Book Antiqua"/>
          <w:b/>
          <w:bCs/>
          <w:color w:val="0000FF"/>
          <w:sz w:val="24"/>
          <w:szCs w:val="24"/>
          <w:lang w:val="pt-BR"/>
        </w:rPr>
        <w:t>168</w:t>
      </w:r>
      <w:r>
        <w:rPr>
          <w:rFonts w:ascii="Book Antiqua" w:hAnsi="Book Antiqua"/>
          <w:b/>
          <w:bCs/>
          <w:color w:val="0000FF"/>
          <w:sz w:val="24"/>
          <w:szCs w:val="24"/>
        </w:rPr>
        <w:t>/2021/SML/PMA</w:t>
      </w:r>
    </w:p>
    <w:p>
      <w:pPr>
        <w:pStyle w:val="128"/>
        <w:jc w:val="center"/>
        <w:rPr>
          <w:rFonts w:ascii="Book Antiqua" w:hAnsi="Book Antiqua"/>
          <w:b/>
          <w:bCs/>
          <w:color w:val="000000"/>
          <w:szCs w:val="22"/>
          <w:highlight w:val="yellow"/>
        </w:rPr>
      </w:pPr>
    </w:p>
    <w:p>
      <w:pPr>
        <w:pStyle w:val="128"/>
        <w:jc w:val="center"/>
        <w:rPr>
          <w:rFonts w:hint="default" w:ascii="Book Antiqua" w:hAnsi="Book Antiqua"/>
          <w:b/>
          <w:bCs/>
          <w:color w:val="000000"/>
          <w:szCs w:val="22"/>
          <w:highlight w:val="yellow"/>
          <w:lang w:val="pt-BR"/>
        </w:rPr>
      </w:pPr>
      <w:r>
        <w:rPr>
          <w:rFonts w:hint="default" w:ascii="Book Antiqua" w:hAnsi="Book Antiqua"/>
          <w:b/>
          <w:bCs/>
          <w:color w:val="000000"/>
          <w:szCs w:val="22"/>
          <w:highlight w:val="yellow"/>
          <w:lang w:val="pt-BR"/>
        </w:rPr>
        <w:t>ANEXO VII - DO EDITAL</w:t>
      </w:r>
    </w:p>
    <w:tbl>
      <w:tblPr>
        <w:tblStyle w:val="12"/>
        <w:tblW w:w="10100" w:type="dxa"/>
        <w:tblInd w:w="55" w:type="dxa"/>
        <w:tblLayout w:type="autofit"/>
        <w:tblCellMar>
          <w:top w:w="55" w:type="dxa"/>
          <w:left w:w="55" w:type="dxa"/>
          <w:bottom w:w="55" w:type="dxa"/>
          <w:right w:w="55" w:type="dxa"/>
        </w:tblCellMar>
      </w:tblPr>
      <w:tblGrid>
        <w:gridCol w:w="4962"/>
        <w:gridCol w:w="1265"/>
        <w:gridCol w:w="3873"/>
      </w:tblGrid>
      <w:tr>
        <w:tblPrEx>
          <w:tblCellMar>
            <w:top w:w="55" w:type="dxa"/>
            <w:left w:w="55" w:type="dxa"/>
            <w:bottom w:w="55" w:type="dxa"/>
            <w:right w:w="55" w:type="dxa"/>
          </w:tblCellMar>
        </w:tblPrEx>
        <w:trPr>
          <w:trHeight w:val="530" w:hRule="atLeast"/>
        </w:trPr>
        <w:tc>
          <w:tcPr>
            <w:tcW w:w="10100" w:type="dxa"/>
            <w:gridSpan w:val="3"/>
            <w:tcBorders>
              <w:bottom w:val="single" w:color="000000" w:sz="4" w:space="0"/>
            </w:tcBorders>
            <w:shd w:val="clear" w:color="auto" w:fill="auto"/>
          </w:tcPr>
          <w:p>
            <w:pPr>
              <w:pStyle w:val="128"/>
              <w:jc w:val="center"/>
            </w:pPr>
            <w:r>
              <w:rPr>
                <w:rFonts w:ascii="Calibri" w:hAnsi="Calibri"/>
                <w:b/>
                <w:bCs/>
                <w:sz w:val="22"/>
                <w:szCs w:val="22"/>
              </w:rPr>
              <w:t>TERMO DE CONCORDÂNCIA E VERACIDADE</w:t>
            </w:r>
          </w:p>
          <w:p>
            <w:pPr>
              <w:pStyle w:val="128"/>
              <w:jc w:val="center"/>
            </w:pPr>
            <w:r>
              <w:rPr>
                <w:rFonts w:ascii="Calibri" w:hAnsi="Calibri"/>
                <w:b/>
                <w:bCs/>
                <w:sz w:val="22"/>
                <w:szCs w:val="22"/>
              </w:rPr>
              <w:t>(Cadastro de Usuários Externos no ePROC)</w:t>
            </w:r>
            <w:r>
              <w:rPr>
                <w:rFonts w:ascii="Calibri" w:hAnsi="Calibri"/>
                <w:b/>
                <w:bCs/>
                <w:sz w:val="22"/>
                <w:szCs w:val="22"/>
              </w:rPr>
              <w:br w:type="textWrapping"/>
            </w:r>
            <w:r>
              <w:rPr>
                <w:rFonts w:ascii="Calibri" w:hAnsi="Calibri"/>
                <w:b/>
                <w:bCs/>
                <w:sz w:val="22"/>
                <w:szCs w:val="22"/>
              </w:rPr>
              <w:t>Decreto 16.426/2020</w:t>
            </w:r>
          </w:p>
        </w:tc>
      </w:tr>
      <w:tr>
        <w:tblPrEx>
          <w:tblCellMar>
            <w:top w:w="55" w:type="dxa"/>
            <w:left w:w="55" w:type="dxa"/>
            <w:bottom w:w="55" w:type="dxa"/>
            <w:right w:w="55" w:type="dxa"/>
          </w:tblCellMar>
        </w:tblPrEx>
        <w:tc>
          <w:tcPr>
            <w:tcW w:w="10100" w:type="dxa"/>
            <w:gridSpan w:val="3"/>
            <w:tcBorders>
              <w:top w:val="single" w:color="000000" w:sz="4" w:space="0"/>
              <w:left w:val="single" w:color="000000" w:sz="4" w:space="0"/>
              <w:bottom w:val="single" w:color="000000" w:sz="4" w:space="0"/>
              <w:right w:val="single" w:color="000000" w:sz="4" w:space="0"/>
            </w:tcBorders>
            <w:shd w:val="clear" w:color="auto" w:fill="auto"/>
          </w:tcPr>
          <w:p>
            <w:pPr>
              <w:pStyle w:val="128"/>
              <w:rPr>
                <w:rFonts w:ascii="Calibri" w:hAnsi="Calibri"/>
                <w:b/>
                <w:bCs/>
                <w:sz w:val="20"/>
                <w:szCs w:val="20"/>
              </w:rPr>
            </w:pPr>
            <w:r>
              <w:rPr>
                <w:rFonts w:ascii="Calibri" w:hAnsi="Calibri"/>
                <w:b/>
                <w:bCs/>
                <w:sz w:val="20"/>
                <w:szCs w:val="20"/>
              </w:rPr>
              <w:t>Empresa:</w:t>
            </w:r>
          </w:p>
        </w:tc>
      </w:tr>
      <w:tr>
        <w:tblPrEx>
          <w:tblCellMar>
            <w:top w:w="55" w:type="dxa"/>
            <w:left w:w="55" w:type="dxa"/>
            <w:bottom w:w="55" w:type="dxa"/>
            <w:right w:w="55" w:type="dxa"/>
          </w:tblCellMar>
        </w:tblPrEx>
        <w:tc>
          <w:tcPr>
            <w:tcW w:w="6227" w:type="dxa"/>
            <w:gridSpan w:val="2"/>
            <w:tcBorders>
              <w:top w:val="single" w:color="000000" w:sz="4" w:space="0"/>
              <w:left w:val="single" w:color="000000" w:sz="4" w:space="0"/>
              <w:bottom w:val="single" w:color="000000" w:sz="4" w:space="0"/>
              <w:right w:val="single" w:color="000000" w:sz="4" w:space="0"/>
            </w:tcBorders>
            <w:shd w:val="clear" w:color="auto" w:fill="auto"/>
          </w:tcPr>
          <w:p>
            <w:pPr>
              <w:pStyle w:val="128"/>
              <w:rPr>
                <w:rFonts w:ascii="Calibri" w:hAnsi="Calibri"/>
                <w:b/>
                <w:bCs/>
                <w:sz w:val="20"/>
                <w:szCs w:val="20"/>
              </w:rPr>
            </w:pPr>
            <w:r>
              <w:rPr>
                <w:rFonts w:ascii="Calibri" w:hAnsi="Calibri"/>
                <w:b/>
                <w:bCs/>
                <w:sz w:val="20"/>
                <w:szCs w:val="20"/>
              </w:rPr>
              <w:t>Usuário (Representante):</w:t>
            </w:r>
          </w:p>
        </w:tc>
        <w:tc>
          <w:tcPr>
            <w:tcW w:w="3873" w:type="dxa"/>
            <w:tcBorders>
              <w:top w:val="single" w:color="000000" w:sz="4" w:space="0"/>
              <w:left w:val="single" w:color="000000" w:sz="4" w:space="0"/>
              <w:bottom w:val="single" w:color="000000" w:sz="4" w:space="0"/>
              <w:right w:val="single" w:color="000000" w:sz="4" w:space="0"/>
            </w:tcBorders>
            <w:shd w:val="clear" w:color="auto" w:fill="auto"/>
          </w:tcPr>
          <w:p>
            <w:pPr>
              <w:pStyle w:val="128"/>
              <w:rPr>
                <w:rFonts w:ascii="Calibri" w:hAnsi="Calibri"/>
                <w:b/>
                <w:bCs/>
                <w:sz w:val="20"/>
                <w:szCs w:val="20"/>
              </w:rPr>
            </w:pPr>
            <w:r>
              <w:rPr>
                <w:rFonts w:ascii="Calibri" w:hAnsi="Calibri"/>
                <w:b/>
                <w:bCs/>
                <w:sz w:val="20"/>
                <w:szCs w:val="20"/>
              </w:rPr>
              <w:t>CPF:</w:t>
            </w:r>
          </w:p>
        </w:tc>
      </w:tr>
      <w:tr>
        <w:tblPrEx>
          <w:tblCellMar>
            <w:top w:w="55" w:type="dxa"/>
            <w:left w:w="55" w:type="dxa"/>
            <w:bottom w:w="55" w:type="dxa"/>
            <w:right w:w="55" w:type="dxa"/>
          </w:tblCellMar>
        </w:tblPrEx>
        <w:tc>
          <w:tcPr>
            <w:tcW w:w="4962" w:type="dxa"/>
            <w:tcBorders>
              <w:top w:val="single" w:color="000000" w:sz="4" w:space="0"/>
              <w:left w:val="single" w:color="000000" w:sz="4" w:space="0"/>
              <w:bottom w:val="single" w:color="000000" w:sz="4" w:space="0"/>
              <w:right w:val="single" w:color="000000" w:sz="4" w:space="0"/>
            </w:tcBorders>
            <w:shd w:val="clear" w:color="auto" w:fill="auto"/>
          </w:tcPr>
          <w:p>
            <w:pPr>
              <w:pStyle w:val="128"/>
              <w:rPr>
                <w:rFonts w:ascii="Calibri" w:hAnsi="Calibri"/>
                <w:b/>
                <w:bCs/>
                <w:sz w:val="20"/>
                <w:szCs w:val="20"/>
              </w:rPr>
            </w:pPr>
            <w:r>
              <w:rPr>
                <w:rFonts w:ascii="Calibri" w:hAnsi="Calibri"/>
                <w:b/>
                <w:bCs/>
                <w:sz w:val="20"/>
                <w:szCs w:val="20"/>
              </w:rPr>
              <w:t>E-Mail:</w:t>
            </w:r>
          </w:p>
        </w:tc>
        <w:tc>
          <w:tcPr>
            <w:tcW w:w="5138" w:type="dxa"/>
            <w:gridSpan w:val="2"/>
            <w:tcBorders>
              <w:top w:val="single" w:color="000000" w:sz="4" w:space="0"/>
              <w:left w:val="single" w:color="000000" w:sz="4" w:space="0"/>
              <w:bottom w:val="single" w:color="000000" w:sz="4" w:space="0"/>
              <w:right w:val="single" w:color="000000" w:sz="4" w:space="0"/>
            </w:tcBorders>
            <w:shd w:val="clear" w:color="auto" w:fill="auto"/>
          </w:tcPr>
          <w:p>
            <w:pPr>
              <w:pStyle w:val="128"/>
              <w:rPr>
                <w:rFonts w:ascii="Calibri" w:hAnsi="Calibri"/>
                <w:b/>
                <w:bCs/>
                <w:sz w:val="20"/>
                <w:szCs w:val="20"/>
              </w:rPr>
            </w:pPr>
            <w:r>
              <w:rPr>
                <w:rFonts w:ascii="Calibri" w:hAnsi="Calibri"/>
                <w:b/>
                <w:bCs/>
                <w:sz w:val="20"/>
                <w:szCs w:val="20"/>
              </w:rPr>
              <w:t xml:space="preserve">Cargo/Função: </w:t>
            </w:r>
          </w:p>
        </w:tc>
      </w:tr>
      <w:tr>
        <w:tblPrEx>
          <w:tblCellMar>
            <w:top w:w="55" w:type="dxa"/>
            <w:left w:w="55" w:type="dxa"/>
            <w:bottom w:w="55" w:type="dxa"/>
            <w:right w:w="55" w:type="dxa"/>
          </w:tblCellMar>
        </w:tblPrEx>
        <w:tc>
          <w:tcPr>
            <w:tcW w:w="4962" w:type="dxa"/>
            <w:tcBorders>
              <w:top w:val="single" w:color="000000" w:sz="4" w:space="0"/>
              <w:left w:val="single" w:color="000000" w:sz="4" w:space="0"/>
              <w:bottom w:val="single" w:color="000000" w:sz="4" w:space="0"/>
              <w:right w:val="single" w:color="000000" w:sz="4" w:space="0"/>
            </w:tcBorders>
            <w:shd w:val="clear" w:color="auto" w:fill="auto"/>
          </w:tcPr>
          <w:p>
            <w:pPr>
              <w:pStyle w:val="128"/>
              <w:rPr>
                <w:rFonts w:ascii="Calibri" w:hAnsi="Calibri"/>
                <w:b/>
                <w:bCs/>
                <w:sz w:val="20"/>
                <w:szCs w:val="20"/>
              </w:rPr>
            </w:pPr>
            <w:r>
              <w:rPr>
                <w:rFonts w:ascii="Calibri" w:hAnsi="Calibri"/>
                <w:b/>
                <w:bCs/>
                <w:sz w:val="20"/>
                <w:szCs w:val="20"/>
              </w:rPr>
              <w:t>Celular:</w:t>
            </w:r>
          </w:p>
        </w:tc>
        <w:tc>
          <w:tcPr>
            <w:tcW w:w="5138" w:type="dxa"/>
            <w:gridSpan w:val="2"/>
            <w:tcBorders>
              <w:top w:val="single" w:color="000000" w:sz="4" w:space="0"/>
              <w:left w:val="single" w:color="000000" w:sz="4" w:space="0"/>
              <w:bottom w:val="single" w:color="000000" w:sz="4" w:space="0"/>
              <w:right w:val="single" w:color="000000" w:sz="4" w:space="0"/>
            </w:tcBorders>
            <w:shd w:val="clear" w:color="auto" w:fill="auto"/>
          </w:tcPr>
          <w:p>
            <w:pPr>
              <w:pStyle w:val="128"/>
              <w:rPr>
                <w:rFonts w:ascii="Calibri" w:hAnsi="Calibri"/>
                <w:b/>
                <w:bCs/>
                <w:sz w:val="20"/>
                <w:szCs w:val="20"/>
              </w:rPr>
            </w:pPr>
            <w:r>
              <w:rPr>
                <w:rFonts w:ascii="Calibri" w:hAnsi="Calibri"/>
                <w:b/>
                <w:bCs/>
                <w:sz w:val="20"/>
                <w:szCs w:val="20"/>
              </w:rPr>
              <w:t>Data Nascimento:</w:t>
            </w:r>
          </w:p>
        </w:tc>
      </w:tr>
    </w:tbl>
    <w:p/>
    <w:p>
      <w:pPr>
        <w:keepNext w:val="0"/>
        <w:keepLines w:val="0"/>
        <w:pageBreakBefore w:val="0"/>
        <w:widowControl/>
        <w:kinsoku/>
        <w:wordWrap/>
        <w:overflowPunct/>
        <w:topLinePunct w:val="0"/>
        <w:autoSpaceDE/>
        <w:autoSpaceDN/>
        <w:bidi w:val="0"/>
        <w:adjustRightInd/>
        <w:snapToGrid/>
        <w:ind w:left="0" w:leftChars="0"/>
        <w:jc w:val="both"/>
        <w:textAlignment w:val="auto"/>
        <w:rPr>
          <w:rFonts w:ascii="Calibri" w:hAnsi="Calibri" w:cs="Calibri"/>
          <w:sz w:val="20"/>
          <w:szCs w:val="20"/>
        </w:rPr>
      </w:pPr>
      <w:r>
        <w:rPr>
          <w:rFonts w:ascii="Calibri" w:hAnsi="Calibri" w:cs="Calibri"/>
          <w:sz w:val="20"/>
          <w:szCs w:val="20"/>
        </w:rPr>
        <w:t xml:space="preserve">A realização do cadastro como Usuário Externo no Sistema de Processo Eletrônico de Informações – ePROC, disponível no site </w:t>
      </w:r>
      <w:r>
        <w:fldChar w:fldCharType="begin"/>
      </w:r>
      <w:r>
        <w:instrText xml:space="preserve"> HYPERLINK "http://www.ariquemes.ro.gov.br" </w:instrText>
      </w:r>
      <w:r>
        <w:fldChar w:fldCharType="separate"/>
      </w:r>
      <w:r>
        <w:rPr>
          <w:rStyle w:val="19"/>
          <w:rFonts w:ascii="Calibri" w:hAnsi="Calibri" w:cs="Calibri"/>
          <w:sz w:val="20"/>
          <w:szCs w:val="20"/>
        </w:rPr>
        <w:t>www.ariquemes.ro.gov.br</w:t>
      </w:r>
      <w:r>
        <w:rPr>
          <w:rStyle w:val="19"/>
          <w:rFonts w:ascii="Calibri" w:hAnsi="Calibri" w:cs="Calibri"/>
          <w:sz w:val="20"/>
          <w:szCs w:val="20"/>
        </w:rPr>
        <w:fldChar w:fldCharType="end"/>
      </w:r>
      <w:r>
        <w:rPr>
          <w:rFonts w:ascii="Calibri" w:hAnsi="Calibri" w:cs="Calibri"/>
          <w:sz w:val="20"/>
          <w:szCs w:val="20"/>
        </w:rPr>
        <w:t xml:space="preserve">, e a entrega deste documento importará na aceitação de todos os termos e condições que regem o processo eletrônico, conforme Decreto nº 16.426/2020, e demais normas aplicáveis, admitindo como válida a assinatura eletrônica na modalidade cadastrada (login/senha), tendo como consequência a responsabilidade pelo uso indevido das ações efetuadas, as quais serão passíveis de apuração civil, penal e administrativa. </w:t>
      </w:r>
    </w:p>
    <w:p>
      <w:pPr>
        <w:keepNext w:val="0"/>
        <w:keepLines w:val="0"/>
        <w:pageBreakBefore w:val="0"/>
        <w:widowControl/>
        <w:kinsoku/>
        <w:wordWrap/>
        <w:overflowPunct/>
        <w:topLinePunct w:val="0"/>
        <w:autoSpaceDE/>
        <w:autoSpaceDN/>
        <w:bidi w:val="0"/>
        <w:adjustRightInd/>
        <w:snapToGrid/>
        <w:ind w:left="0" w:leftChars="0"/>
        <w:jc w:val="both"/>
        <w:textAlignment w:val="auto"/>
        <w:rPr>
          <w:rFonts w:ascii="Calibri" w:hAnsi="Calibri" w:cs="Calibri"/>
          <w:sz w:val="20"/>
          <w:szCs w:val="20"/>
        </w:rPr>
      </w:pPr>
    </w:p>
    <w:p>
      <w:pPr>
        <w:keepNext w:val="0"/>
        <w:keepLines w:val="0"/>
        <w:pageBreakBefore w:val="0"/>
        <w:widowControl/>
        <w:kinsoku/>
        <w:wordWrap/>
        <w:overflowPunct/>
        <w:topLinePunct w:val="0"/>
        <w:autoSpaceDE/>
        <w:autoSpaceDN/>
        <w:bidi w:val="0"/>
        <w:adjustRightInd/>
        <w:snapToGrid/>
        <w:ind w:left="0" w:leftChars="0"/>
        <w:jc w:val="both"/>
        <w:textAlignment w:val="auto"/>
        <w:rPr>
          <w:rFonts w:ascii="Calibri" w:hAnsi="Calibri" w:cs="Calibri"/>
          <w:sz w:val="20"/>
          <w:szCs w:val="20"/>
        </w:rPr>
      </w:pPr>
      <w:r>
        <w:rPr>
          <w:rFonts w:ascii="Calibri" w:hAnsi="Calibri" w:cs="Calibri"/>
          <w:sz w:val="20"/>
          <w:szCs w:val="20"/>
        </w:rPr>
        <w:t xml:space="preserve">Declaro, ainda, que todos os dados aqui informados são verdadeiros e que são de minha exclusiva responsabilidade: </w:t>
      </w:r>
    </w:p>
    <w:p>
      <w:pPr>
        <w:keepNext w:val="0"/>
        <w:keepLines w:val="0"/>
        <w:pageBreakBefore w:val="0"/>
        <w:widowControl/>
        <w:kinsoku/>
        <w:wordWrap/>
        <w:overflowPunct/>
        <w:topLinePunct w:val="0"/>
        <w:autoSpaceDE/>
        <w:autoSpaceDN/>
        <w:bidi w:val="0"/>
        <w:adjustRightInd/>
        <w:snapToGrid/>
        <w:ind w:left="0" w:leftChars="0"/>
        <w:jc w:val="both"/>
        <w:textAlignment w:val="auto"/>
        <w:rPr>
          <w:rFonts w:ascii="Calibri" w:hAnsi="Calibri" w:cs="Calibri"/>
          <w:sz w:val="20"/>
          <w:szCs w:val="20"/>
        </w:rPr>
      </w:pPr>
    </w:p>
    <w:p>
      <w:pPr>
        <w:pStyle w:val="83"/>
        <w:keepNext w:val="0"/>
        <w:keepLines w:val="0"/>
        <w:pageBreakBefore w:val="0"/>
        <w:widowControl/>
        <w:numPr>
          <w:ilvl w:val="0"/>
          <w:numId w:val="0"/>
        </w:numPr>
        <w:kinsoku/>
        <w:wordWrap/>
        <w:overflowPunct/>
        <w:topLinePunct w:val="0"/>
        <w:autoSpaceDE/>
        <w:autoSpaceDN/>
        <w:bidi w:val="0"/>
        <w:adjustRightInd/>
        <w:snapToGrid/>
        <w:ind w:left="0" w:leftChars="0"/>
        <w:jc w:val="both"/>
        <w:textAlignment w:val="auto"/>
        <w:rPr>
          <w:rFonts w:ascii="Calibri" w:hAnsi="Calibri" w:cs="Calibri"/>
          <w:sz w:val="20"/>
          <w:szCs w:val="20"/>
        </w:rPr>
      </w:pPr>
      <w:r>
        <w:rPr>
          <w:rFonts w:hint="default" w:ascii="Calibri" w:hAnsi="Calibri" w:cs="Calibri"/>
          <w:sz w:val="20"/>
          <w:szCs w:val="20"/>
          <w:lang w:val="pt-BR"/>
        </w:rPr>
        <w:t xml:space="preserve">I - </w:t>
      </w:r>
      <w:r>
        <w:rPr>
          <w:rFonts w:ascii="Calibri" w:hAnsi="Calibri" w:cs="Calibri"/>
          <w:sz w:val="20"/>
          <w:szCs w:val="20"/>
        </w:rPr>
        <w:t>O sigilo da senha de acesso, não sendo justificada, em qualquer hipótese, alegação de uso indevido;</w:t>
      </w:r>
    </w:p>
    <w:p>
      <w:pPr>
        <w:pStyle w:val="83"/>
        <w:keepNext w:val="0"/>
        <w:keepLines w:val="0"/>
        <w:pageBreakBefore w:val="0"/>
        <w:widowControl/>
        <w:numPr>
          <w:ilvl w:val="0"/>
          <w:numId w:val="0"/>
        </w:numPr>
        <w:kinsoku/>
        <w:wordWrap/>
        <w:overflowPunct/>
        <w:topLinePunct w:val="0"/>
        <w:autoSpaceDE/>
        <w:autoSpaceDN/>
        <w:bidi w:val="0"/>
        <w:adjustRightInd/>
        <w:snapToGrid/>
        <w:ind w:left="0" w:leftChars="0"/>
        <w:jc w:val="both"/>
        <w:textAlignment w:val="auto"/>
        <w:rPr>
          <w:rFonts w:ascii="Calibri" w:hAnsi="Calibri" w:cs="Calibri"/>
          <w:sz w:val="20"/>
          <w:szCs w:val="20"/>
        </w:rPr>
      </w:pPr>
      <w:r>
        <w:rPr>
          <w:rFonts w:hint="default" w:ascii="Calibri" w:hAnsi="Calibri" w:cs="Calibri"/>
          <w:sz w:val="20"/>
          <w:szCs w:val="20"/>
          <w:lang w:val="pt-BR"/>
        </w:rPr>
        <w:t xml:space="preserve">II - </w:t>
      </w:r>
      <w:r>
        <w:rPr>
          <w:rFonts w:ascii="Calibri" w:hAnsi="Calibri" w:cs="Calibri"/>
          <w:sz w:val="20"/>
          <w:szCs w:val="20"/>
        </w:rPr>
        <w:t>A conformidade entre os dados informados neste formulário eletrônico e os constantes no cadastro e nos documentos apresentados;</w:t>
      </w:r>
    </w:p>
    <w:p>
      <w:pPr>
        <w:pStyle w:val="83"/>
        <w:keepNext w:val="0"/>
        <w:keepLines w:val="0"/>
        <w:pageBreakBefore w:val="0"/>
        <w:widowControl/>
        <w:numPr>
          <w:ilvl w:val="0"/>
          <w:numId w:val="0"/>
        </w:numPr>
        <w:kinsoku/>
        <w:wordWrap/>
        <w:overflowPunct/>
        <w:topLinePunct w:val="0"/>
        <w:autoSpaceDE/>
        <w:autoSpaceDN/>
        <w:bidi w:val="0"/>
        <w:adjustRightInd/>
        <w:snapToGrid/>
        <w:ind w:left="0" w:leftChars="0"/>
        <w:jc w:val="both"/>
        <w:textAlignment w:val="auto"/>
        <w:rPr>
          <w:rFonts w:ascii="Calibri" w:hAnsi="Calibri" w:cs="Calibri"/>
          <w:sz w:val="20"/>
          <w:szCs w:val="20"/>
        </w:rPr>
      </w:pPr>
      <w:r>
        <w:rPr>
          <w:rFonts w:hint="default" w:ascii="Calibri" w:hAnsi="Calibri" w:cs="Calibri"/>
          <w:sz w:val="20"/>
          <w:szCs w:val="20"/>
          <w:lang w:val="pt-BR"/>
        </w:rPr>
        <w:t xml:space="preserve">III - </w:t>
      </w:r>
      <w:r>
        <w:rPr>
          <w:rFonts w:ascii="Calibri" w:hAnsi="Calibri" w:cs="Calibri"/>
          <w:sz w:val="20"/>
          <w:szCs w:val="20"/>
        </w:rPr>
        <w:t>A conformidade entre os dados informados no formulário eletrônico de peticionamento e aqueles contidos no documento protocolizado, incluindo o preenchimento dos campos obrigatórios e anexação dos documentos essenciais e complementares;</w:t>
      </w:r>
    </w:p>
    <w:p>
      <w:pPr>
        <w:pStyle w:val="83"/>
        <w:keepNext w:val="0"/>
        <w:keepLines w:val="0"/>
        <w:pageBreakBefore w:val="0"/>
        <w:widowControl/>
        <w:numPr>
          <w:ilvl w:val="0"/>
          <w:numId w:val="0"/>
        </w:numPr>
        <w:kinsoku/>
        <w:wordWrap/>
        <w:overflowPunct/>
        <w:topLinePunct w:val="0"/>
        <w:autoSpaceDE/>
        <w:autoSpaceDN/>
        <w:bidi w:val="0"/>
        <w:adjustRightInd/>
        <w:snapToGrid/>
        <w:ind w:left="0" w:leftChars="0"/>
        <w:jc w:val="both"/>
        <w:textAlignment w:val="auto"/>
        <w:rPr>
          <w:rFonts w:ascii="Calibri" w:hAnsi="Calibri" w:cs="Calibri"/>
          <w:sz w:val="20"/>
          <w:szCs w:val="20"/>
        </w:rPr>
      </w:pPr>
      <w:r>
        <w:rPr>
          <w:rFonts w:hint="default" w:ascii="Calibri" w:hAnsi="Calibri" w:cs="Calibri"/>
          <w:sz w:val="20"/>
          <w:szCs w:val="20"/>
          <w:lang w:val="pt-BR"/>
        </w:rPr>
        <w:t xml:space="preserve">IV - </w:t>
      </w:r>
      <w:r>
        <w:rPr>
          <w:rFonts w:ascii="Calibri" w:hAnsi="Calibri" w:cs="Calibri"/>
          <w:sz w:val="20"/>
          <w:szCs w:val="20"/>
        </w:rPr>
        <w:t>A confecção da petição e dos documentos digitais em conformidade com os requisitos estabelecidos pelo sistema, no que se refere ao formato e ao tamanho dos arquivos transmitidos eletronicamente;</w:t>
      </w:r>
    </w:p>
    <w:p>
      <w:pPr>
        <w:pStyle w:val="83"/>
        <w:keepNext w:val="0"/>
        <w:keepLines w:val="0"/>
        <w:pageBreakBefore w:val="0"/>
        <w:widowControl/>
        <w:numPr>
          <w:ilvl w:val="0"/>
          <w:numId w:val="0"/>
        </w:numPr>
        <w:kinsoku/>
        <w:wordWrap/>
        <w:overflowPunct/>
        <w:topLinePunct w:val="0"/>
        <w:autoSpaceDE/>
        <w:autoSpaceDN/>
        <w:bidi w:val="0"/>
        <w:adjustRightInd/>
        <w:snapToGrid/>
        <w:ind w:left="0" w:leftChars="0"/>
        <w:jc w:val="both"/>
        <w:textAlignment w:val="auto"/>
        <w:rPr>
          <w:rFonts w:ascii="Calibri" w:hAnsi="Calibri" w:cs="Calibri"/>
          <w:sz w:val="20"/>
          <w:szCs w:val="20"/>
        </w:rPr>
      </w:pPr>
      <w:r>
        <w:rPr>
          <w:rFonts w:hint="default" w:ascii="Calibri" w:hAnsi="Calibri" w:cs="Calibri"/>
          <w:sz w:val="20"/>
          <w:szCs w:val="20"/>
          <w:lang w:val="pt-BR"/>
        </w:rPr>
        <w:t xml:space="preserve">V - </w:t>
      </w:r>
      <w:r>
        <w:rPr>
          <w:rFonts w:ascii="Calibri" w:hAnsi="Calibri" w:cs="Calibri"/>
          <w:sz w:val="20"/>
          <w:szCs w:val="20"/>
        </w:rPr>
        <w:t>A conservação dos originais em papel de documentos digitalizados enviados por meio de peticionamento eletrônico até que decaia o direito da Administração de rever os atos praticados no processo, para que caso solicitado sejam apresentados a Prefeitura Municipal de Ariquemes para qualquer tipo de conferência;</w:t>
      </w:r>
    </w:p>
    <w:p>
      <w:pPr>
        <w:pStyle w:val="83"/>
        <w:keepNext w:val="0"/>
        <w:keepLines w:val="0"/>
        <w:pageBreakBefore w:val="0"/>
        <w:widowControl/>
        <w:numPr>
          <w:ilvl w:val="0"/>
          <w:numId w:val="0"/>
        </w:numPr>
        <w:kinsoku/>
        <w:wordWrap/>
        <w:overflowPunct/>
        <w:topLinePunct w:val="0"/>
        <w:autoSpaceDE/>
        <w:autoSpaceDN/>
        <w:bidi w:val="0"/>
        <w:adjustRightInd/>
        <w:snapToGrid/>
        <w:ind w:left="0" w:leftChars="0"/>
        <w:jc w:val="both"/>
        <w:textAlignment w:val="auto"/>
        <w:rPr>
          <w:rFonts w:ascii="Calibri" w:hAnsi="Calibri" w:cs="Calibri"/>
          <w:sz w:val="20"/>
          <w:szCs w:val="20"/>
        </w:rPr>
      </w:pPr>
      <w:r>
        <w:rPr>
          <w:rFonts w:hint="default" w:ascii="Calibri" w:hAnsi="Calibri" w:cs="Calibri"/>
          <w:sz w:val="20"/>
          <w:szCs w:val="20"/>
          <w:lang w:val="pt-BR"/>
        </w:rPr>
        <w:t xml:space="preserve">VI - </w:t>
      </w:r>
      <w:r>
        <w:rPr>
          <w:rFonts w:ascii="Calibri" w:hAnsi="Calibri" w:cs="Calibri"/>
          <w:sz w:val="20"/>
          <w:szCs w:val="20"/>
        </w:rPr>
        <w:t xml:space="preserve">A verificação, por meio do recibo eletrônico de protocolo, do recebimento das petições e dos documentos transmitidos eletronicamente. Para que o cadastro seja analisado e liberado, o usuário deve enviar para o e-mail </w:t>
      </w:r>
      <w:r>
        <w:fldChar w:fldCharType="begin"/>
      </w:r>
      <w:r>
        <w:instrText xml:space="preserve"> HYPERLINK "mailto:credenciamento@ariquemes.ro.gov.br" </w:instrText>
      </w:r>
      <w:r>
        <w:fldChar w:fldCharType="separate"/>
      </w:r>
      <w:r>
        <w:rPr>
          <w:rStyle w:val="19"/>
          <w:rFonts w:ascii="Calibri" w:hAnsi="Calibri" w:cs="Calibri"/>
          <w:sz w:val="20"/>
          <w:szCs w:val="20"/>
        </w:rPr>
        <w:t>credenciamento@ariquemes.ro.gov.br</w:t>
      </w:r>
      <w:r>
        <w:rPr>
          <w:rStyle w:val="19"/>
          <w:rFonts w:ascii="Calibri" w:hAnsi="Calibri" w:cs="Calibri"/>
          <w:sz w:val="20"/>
          <w:szCs w:val="20"/>
        </w:rPr>
        <w:fldChar w:fldCharType="end"/>
      </w:r>
      <w:r>
        <w:rPr>
          <w:rFonts w:ascii="Calibri" w:hAnsi="Calibri" w:cs="Calibri"/>
          <w:sz w:val="20"/>
          <w:szCs w:val="20"/>
        </w:rPr>
        <w:t xml:space="preserve"> os seguintes documentos:</w:t>
      </w:r>
    </w:p>
    <w:p>
      <w:pPr>
        <w:pStyle w:val="83"/>
        <w:keepNext w:val="0"/>
        <w:keepLines w:val="0"/>
        <w:pageBreakBefore w:val="0"/>
        <w:widowControl/>
        <w:numPr>
          <w:ilvl w:val="0"/>
          <w:numId w:val="18"/>
        </w:numPr>
        <w:kinsoku/>
        <w:wordWrap/>
        <w:overflowPunct/>
        <w:topLinePunct w:val="0"/>
        <w:autoSpaceDE/>
        <w:autoSpaceDN/>
        <w:bidi w:val="0"/>
        <w:adjustRightInd/>
        <w:snapToGrid/>
        <w:ind w:left="0" w:leftChars="0" w:firstLine="0" w:firstLineChars="0"/>
        <w:jc w:val="both"/>
        <w:textAlignment w:val="auto"/>
        <w:rPr>
          <w:rFonts w:ascii="Calibri" w:hAnsi="Calibri" w:cs="Calibri"/>
          <w:sz w:val="20"/>
          <w:szCs w:val="20"/>
        </w:rPr>
      </w:pPr>
      <w:r>
        <w:rPr>
          <w:rFonts w:ascii="Calibri" w:hAnsi="Calibri" w:cs="Calibri"/>
          <w:sz w:val="20"/>
          <w:szCs w:val="20"/>
        </w:rPr>
        <w:t>O original do presente Termo em formato PDF, assinado (com certificado digital ou firma reconhecida em cartório);</w:t>
      </w:r>
    </w:p>
    <w:p>
      <w:pPr>
        <w:pStyle w:val="83"/>
        <w:keepNext w:val="0"/>
        <w:keepLines w:val="0"/>
        <w:pageBreakBefore w:val="0"/>
        <w:widowControl/>
        <w:numPr>
          <w:ilvl w:val="0"/>
          <w:numId w:val="18"/>
        </w:numPr>
        <w:kinsoku/>
        <w:wordWrap/>
        <w:overflowPunct/>
        <w:topLinePunct w:val="0"/>
        <w:autoSpaceDE/>
        <w:autoSpaceDN/>
        <w:bidi w:val="0"/>
        <w:adjustRightInd/>
        <w:snapToGrid/>
        <w:ind w:left="0" w:leftChars="0" w:firstLine="0" w:firstLineChars="0"/>
        <w:jc w:val="both"/>
        <w:textAlignment w:val="auto"/>
        <w:rPr>
          <w:rFonts w:ascii="Calibri" w:hAnsi="Calibri" w:cs="Calibri"/>
          <w:sz w:val="20"/>
          <w:szCs w:val="20"/>
        </w:rPr>
      </w:pPr>
      <w:r>
        <w:rPr>
          <w:rFonts w:ascii="Calibri" w:hAnsi="Calibri" w:cs="Calibri"/>
          <w:sz w:val="20"/>
          <w:szCs w:val="20"/>
        </w:rPr>
        <w:t>Cópias de RG e CPF ou de outro documento de identificação oficial com foto no qual conste CPF.</w:t>
      </w:r>
    </w:p>
    <w:p>
      <w:pPr>
        <w:pStyle w:val="83"/>
        <w:keepNext w:val="0"/>
        <w:keepLines w:val="0"/>
        <w:pageBreakBefore w:val="0"/>
        <w:widowControl/>
        <w:numPr>
          <w:ilvl w:val="0"/>
          <w:numId w:val="18"/>
        </w:numPr>
        <w:kinsoku/>
        <w:wordWrap/>
        <w:overflowPunct/>
        <w:topLinePunct w:val="0"/>
        <w:autoSpaceDE/>
        <w:autoSpaceDN/>
        <w:bidi w:val="0"/>
        <w:adjustRightInd/>
        <w:snapToGrid/>
        <w:ind w:left="0" w:leftChars="0" w:firstLine="0" w:firstLineChars="0"/>
        <w:jc w:val="both"/>
        <w:textAlignment w:val="auto"/>
        <w:rPr>
          <w:rFonts w:ascii="Calibri" w:hAnsi="Calibri" w:cs="Calibri"/>
          <w:sz w:val="20"/>
          <w:szCs w:val="20"/>
        </w:rPr>
      </w:pPr>
      <w:r>
        <w:rPr>
          <w:rFonts w:ascii="Calibri" w:hAnsi="Calibri" w:cs="Calibri"/>
          <w:sz w:val="20"/>
          <w:szCs w:val="20"/>
        </w:rPr>
        <w:t>Cópia do ato constitutivo da pessoa jurídica, quando for o caso, constando o usuário solicitante como sócio/administrador;</w:t>
      </w:r>
    </w:p>
    <w:p>
      <w:pPr>
        <w:pStyle w:val="83"/>
        <w:keepNext w:val="0"/>
        <w:keepLines w:val="0"/>
        <w:pageBreakBefore w:val="0"/>
        <w:widowControl/>
        <w:numPr>
          <w:ilvl w:val="0"/>
          <w:numId w:val="18"/>
        </w:numPr>
        <w:kinsoku/>
        <w:wordWrap/>
        <w:overflowPunct/>
        <w:topLinePunct w:val="0"/>
        <w:autoSpaceDE/>
        <w:autoSpaceDN/>
        <w:bidi w:val="0"/>
        <w:adjustRightInd/>
        <w:snapToGrid/>
        <w:ind w:left="0" w:leftChars="0" w:firstLine="0" w:firstLineChars="0"/>
        <w:jc w:val="both"/>
        <w:textAlignment w:val="auto"/>
        <w:rPr>
          <w:rFonts w:ascii="Calibri" w:hAnsi="Calibri" w:cs="Calibri"/>
          <w:sz w:val="20"/>
          <w:szCs w:val="20"/>
        </w:rPr>
      </w:pPr>
      <w:r>
        <w:rPr>
          <w:rFonts w:ascii="Calibri" w:hAnsi="Calibri" w:cs="Calibri"/>
          <w:sz w:val="20"/>
          <w:szCs w:val="20"/>
        </w:rPr>
        <w:t>Cópia da procuração com poderes específicos para representação do interessado, quando for o caso; ou em caso de procurador de pessoa jurídica, cópia do RG e CPF do outorgante, ou de outro documento de identificação oficial com foto no qual conste CPF.</w:t>
      </w:r>
    </w:p>
    <w:p>
      <w:pPr>
        <w:keepNext w:val="0"/>
        <w:keepLines w:val="0"/>
        <w:pageBreakBefore w:val="0"/>
        <w:widowControl/>
        <w:kinsoku/>
        <w:wordWrap/>
        <w:overflowPunct/>
        <w:topLinePunct w:val="0"/>
        <w:autoSpaceDE/>
        <w:autoSpaceDN/>
        <w:bidi w:val="0"/>
        <w:adjustRightInd/>
        <w:snapToGrid/>
        <w:ind w:left="0" w:leftChars="0"/>
        <w:jc w:val="both"/>
        <w:textAlignment w:val="auto"/>
        <w:rPr>
          <w:rFonts w:ascii="Calibri" w:hAnsi="Calibri" w:cs="Calibri"/>
          <w:sz w:val="20"/>
          <w:szCs w:val="20"/>
        </w:rPr>
      </w:pPr>
      <w:r>
        <w:rPr>
          <w:rFonts w:ascii="Calibri" w:hAnsi="Calibri" w:cs="Calibri"/>
          <w:sz w:val="20"/>
          <w:szCs w:val="20"/>
        </w:rPr>
        <w:t xml:space="preserve">Em caso de dúvidas, entrar em contato com </w:t>
      </w:r>
      <w:r>
        <w:fldChar w:fldCharType="begin"/>
      </w:r>
      <w:r>
        <w:instrText xml:space="preserve"> HYPERLINK "mailto:credenciamento@ariquemes.ro.gov.br" </w:instrText>
      </w:r>
      <w:r>
        <w:fldChar w:fldCharType="separate"/>
      </w:r>
      <w:r>
        <w:rPr>
          <w:rStyle w:val="19"/>
          <w:rFonts w:ascii="Calibri" w:hAnsi="Calibri" w:cs="Calibri"/>
          <w:sz w:val="20"/>
          <w:szCs w:val="20"/>
        </w:rPr>
        <w:t>credenciamento@ariquemes.ro.gov.br</w:t>
      </w:r>
      <w:r>
        <w:rPr>
          <w:rStyle w:val="19"/>
          <w:rFonts w:ascii="Calibri" w:hAnsi="Calibri" w:cs="Calibri"/>
          <w:sz w:val="20"/>
          <w:szCs w:val="20"/>
        </w:rPr>
        <w:fldChar w:fldCharType="end"/>
      </w:r>
      <w:r>
        <w:rPr>
          <w:rFonts w:ascii="Calibri" w:hAnsi="Calibri" w:cs="Calibri"/>
          <w:sz w:val="20"/>
          <w:szCs w:val="20"/>
        </w:rPr>
        <w:t xml:space="preserve">, ou WhatsApp (69) 3516-2040. </w:t>
      </w:r>
    </w:p>
    <w:p>
      <w:pPr>
        <w:keepNext w:val="0"/>
        <w:keepLines w:val="0"/>
        <w:pageBreakBefore w:val="0"/>
        <w:widowControl/>
        <w:kinsoku/>
        <w:wordWrap/>
        <w:overflowPunct/>
        <w:topLinePunct w:val="0"/>
        <w:autoSpaceDE/>
        <w:autoSpaceDN/>
        <w:bidi w:val="0"/>
        <w:adjustRightInd/>
        <w:snapToGrid/>
        <w:ind w:left="0" w:leftChars="0"/>
        <w:jc w:val="both"/>
        <w:textAlignment w:val="auto"/>
        <w:rPr>
          <w:rFonts w:ascii="Calibri" w:hAnsi="Calibri" w:cs="Calibri"/>
          <w:sz w:val="20"/>
          <w:szCs w:val="20"/>
        </w:rPr>
      </w:pPr>
      <w:r>
        <w:rPr>
          <w:rFonts w:ascii="Calibri" w:hAnsi="Calibri" w:cs="Calibri"/>
          <w:sz w:val="20"/>
          <w:szCs w:val="20"/>
        </w:rPr>
        <w:t>Reconheço ainda que acessarei diariamente o portal de serviços do sistema de processo eletrônico para realização dos procedimentos e ciente que se não fizer, aceito ser considerado a ciência do mesmo a contar do prazo dado para tal.</w:t>
      </w:r>
    </w:p>
    <w:p>
      <w:pPr>
        <w:keepNext w:val="0"/>
        <w:keepLines w:val="0"/>
        <w:pageBreakBefore w:val="0"/>
        <w:widowControl/>
        <w:kinsoku/>
        <w:wordWrap/>
        <w:overflowPunct/>
        <w:topLinePunct w:val="0"/>
        <w:autoSpaceDE/>
        <w:autoSpaceDN/>
        <w:bidi w:val="0"/>
        <w:adjustRightInd/>
        <w:snapToGrid/>
        <w:ind w:left="0" w:leftChars="0"/>
        <w:jc w:val="both"/>
        <w:textAlignment w:val="auto"/>
        <w:rPr>
          <w:rFonts w:ascii="Calibri" w:hAnsi="Calibri" w:cs="Calibri"/>
          <w:sz w:val="20"/>
          <w:szCs w:val="20"/>
        </w:rPr>
      </w:pPr>
    </w:p>
    <w:p>
      <w:pPr>
        <w:keepNext w:val="0"/>
        <w:keepLines w:val="0"/>
        <w:pageBreakBefore w:val="0"/>
        <w:widowControl/>
        <w:kinsoku/>
        <w:wordWrap/>
        <w:overflowPunct/>
        <w:topLinePunct w:val="0"/>
        <w:autoSpaceDE/>
        <w:autoSpaceDN/>
        <w:bidi w:val="0"/>
        <w:adjustRightInd/>
        <w:snapToGrid/>
        <w:ind w:left="0" w:leftChars="0"/>
        <w:jc w:val="right"/>
        <w:textAlignment w:val="auto"/>
        <w:rPr>
          <w:rFonts w:ascii="Calibri" w:hAnsi="Calibri" w:cs="Calibri"/>
          <w:sz w:val="20"/>
          <w:szCs w:val="20"/>
        </w:rPr>
      </w:pPr>
      <w:r>
        <w:rPr>
          <w:rFonts w:ascii="Calibri" w:hAnsi="Calibri" w:cs="Calibri"/>
          <w:b/>
          <w:bCs/>
          <w:sz w:val="20"/>
          <w:szCs w:val="20"/>
        </w:rPr>
        <w:t>Ariquemes/RO,       de              de 2021.</w:t>
      </w:r>
    </w:p>
    <w:p>
      <w:pPr>
        <w:keepNext w:val="0"/>
        <w:keepLines w:val="0"/>
        <w:pageBreakBefore w:val="0"/>
        <w:widowControl/>
        <w:kinsoku/>
        <w:wordWrap/>
        <w:overflowPunct/>
        <w:topLinePunct w:val="0"/>
        <w:autoSpaceDE/>
        <w:autoSpaceDN/>
        <w:bidi w:val="0"/>
        <w:adjustRightInd/>
        <w:snapToGrid/>
        <w:ind w:left="0" w:leftChars="0"/>
        <w:jc w:val="both"/>
        <w:textAlignment w:val="auto"/>
        <w:rPr>
          <w:rFonts w:ascii="Calibri" w:hAnsi="Calibri" w:cs="Calibri"/>
          <w:sz w:val="20"/>
          <w:szCs w:val="20"/>
        </w:rPr>
      </w:pPr>
    </w:p>
    <w:p>
      <w:pPr>
        <w:keepNext w:val="0"/>
        <w:keepLines w:val="0"/>
        <w:pageBreakBefore w:val="0"/>
        <w:widowControl/>
        <w:kinsoku/>
        <w:wordWrap/>
        <w:overflowPunct/>
        <w:topLinePunct w:val="0"/>
        <w:autoSpaceDE/>
        <w:autoSpaceDN/>
        <w:bidi w:val="0"/>
        <w:adjustRightInd/>
        <w:snapToGrid/>
        <w:ind w:left="0" w:leftChars="0"/>
        <w:jc w:val="center"/>
        <w:textAlignment w:val="auto"/>
        <w:rPr>
          <w:rFonts w:ascii="Calibri" w:hAnsi="Calibri" w:cs="Calibri"/>
          <w:sz w:val="20"/>
          <w:szCs w:val="20"/>
        </w:rPr>
      </w:pPr>
      <w:r>
        <w:rPr>
          <w:rFonts w:ascii="Calibri" w:hAnsi="Calibri" w:cs="Calibri"/>
          <w:b/>
          <w:bCs/>
          <w:sz w:val="20"/>
          <w:szCs w:val="20"/>
        </w:rPr>
        <w:t>_________________________________</w:t>
      </w:r>
    </w:p>
    <w:p>
      <w:pPr>
        <w:keepNext w:val="0"/>
        <w:keepLines w:val="0"/>
        <w:pageBreakBefore w:val="0"/>
        <w:widowControl/>
        <w:kinsoku/>
        <w:wordWrap/>
        <w:overflowPunct/>
        <w:topLinePunct w:val="0"/>
        <w:autoSpaceDE/>
        <w:autoSpaceDN/>
        <w:bidi w:val="0"/>
        <w:adjustRightInd/>
        <w:snapToGrid/>
        <w:ind w:left="0" w:leftChars="0"/>
        <w:jc w:val="center"/>
        <w:textAlignment w:val="auto"/>
        <w:rPr>
          <w:rFonts w:ascii="Calibri" w:hAnsi="Calibri" w:cs="Calibri"/>
          <w:sz w:val="20"/>
          <w:szCs w:val="20"/>
        </w:rPr>
      </w:pPr>
      <w:r>
        <w:rPr>
          <w:rFonts w:ascii="Calibri" w:hAnsi="Calibri" w:cs="Calibri"/>
          <w:b/>
          <w:bCs/>
          <w:sz w:val="20"/>
          <w:szCs w:val="20"/>
        </w:rPr>
        <w:t xml:space="preserve">NOME: </w:t>
      </w:r>
    </w:p>
    <w:p>
      <w:pPr>
        <w:keepNext w:val="0"/>
        <w:keepLines w:val="0"/>
        <w:pageBreakBefore w:val="0"/>
        <w:widowControl/>
        <w:kinsoku/>
        <w:wordWrap/>
        <w:overflowPunct/>
        <w:topLinePunct w:val="0"/>
        <w:autoSpaceDE/>
        <w:autoSpaceDN/>
        <w:bidi w:val="0"/>
        <w:adjustRightInd/>
        <w:snapToGrid/>
        <w:ind w:left="0" w:leftChars="0"/>
        <w:jc w:val="center"/>
        <w:textAlignment w:val="auto"/>
        <w:rPr>
          <w:rFonts w:ascii="Book Antiqua" w:hAnsi="Book Antiqua"/>
          <w:b/>
          <w:bCs/>
          <w:color w:val="000000"/>
          <w:szCs w:val="22"/>
          <w:highlight w:val="yellow"/>
        </w:rPr>
      </w:pPr>
      <w:r>
        <w:rPr>
          <w:rFonts w:ascii="Calibri" w:hAnsi="Calibri" w:cs="Calibri"/>
          <w:b/>
          <w:bCs/>
          <w:sz w:val="20"/>
          <w:szCs w:val="20"/>
        </w:rPr>
        <w:t xml:space="preserve">CPF: </w:t>
      </w:r>
    </w:p>
    <w:sectPr>
      <w:headerReference r:id="rId4" w:type="first"/>
      <w:headerReference r:id="rId3" w:type="default"/>
      <w:footerReference r:id="rId5" w:type="default"/>
      <w:pgSz w:w="12240" w:h="15840"/>
      <w:pgMar w:top="1642" w:right="900" w:bottom="851" w:left="1327" w:header="284" w:footer="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Utah">
    <w:altName w:val="Arial"/>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Wingdings">
    <w:panose1 w:val="05000000000000000000"/>
    <w:charset w:val="02"/>
    <w:family w:val="auto"/>
    <w:pitch w:val="default"/>
    <w:sig w:usb0="00000000" w:usb1="00000000" w:usb2="00000000" w:usb3="00000000" w:csb0="80000000" w:csb1="00000000"/>
  </w:font>
  <w:font w:name="Futura Lt BT">
    <w:altName w:val="Liberation Mono"/>
    <w:panose1 w:val="00000000000000000000"/>
    <w:charset w:val="00"/>
    <w:family w:val="swiss"/>
    <w:pitch w:val="default"/>
    <w:sig w:usb0="00000000" w:usb1="00000000" w:usb2="00000000" w:usb3="00000000" w:csb0="00000001" w:csb1="00000000"/>
  </w:font>
  <w:font w:name="Liberation Mono">
    <w:panose1 w:val="02070409020205020404"/>
    <w:charset w:val="00"/>
    <w:family w:val="auto"/>
    <w:pitch w:val="default"/>
    <w:sig w:usb0="E0000AFF" w:usb1="400078FF" w:usb2="00000001" w:usb3="00000000" w:csb0="600001BF" w:csb1="DFF70000"/>
  </w:font>
  <w:font w:name="Arial Unicode MS">
    <w:altName w:val="Arial"/>
    <w:panose1 w:val="020B0604020202020204"/>
    <w:charset w:val="80"/>
    <w:family w:val="swiss"/>
    <w:pitch w:val="default"/>
    <w:sig w:usb0="00000000" w:usb1="00000000" w:usb2="0000003F" w:usb3="00000000" w:csb0="003F01FF" w:csb1="0000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MS Minngs">
    <w:altName w:val="Yu Gothic"/>
    <w:panose1 w:val="00000000000000000000"/>
    <w:charset w:val="80"/>
    <w:family w:val="roman"/>
    <w:pitch w:val="default"/>
    <w:sig w:usb0="00000000" w:usb1="00000000" w:usb2="00000000" w:usb3="00000000" w:csb0="00000000" w:csb1="00000000"/>
  </w:font>
  <w:font w:name="Yu Gothic">
    <w:panose1 w:val="020B0400000000000000"/>
    <w:charset w:val="80"/>
    <w:family w:val="auto"/>
    <w:pitch w:val="default"/>
    <w:sig w:usb0="E00002FF" w:usb1="2AC7FDFF" w:usb2="00000016" w:usb3="00000000" w:csb0="2002009F" w:csb1="00000000"/>
  </w:font>
  <w:font w:name="MS Mincho">
    <w:altName w:val="MS Gothic"/>
    <w:panose1 w:val="02020609040205080304"/>
    <w:charset w:val="80"/>
    <w:family w:val="roman"/>
    <w:pitch w:val="default"/>
    <w:sig w:usb0="00000000" w:usb1="00000000" w:usb2="00000010" w:usb3="00000000" w:csb0="00020000" w:csb1="00000000"/>
  </w:font>
  <w:font w:name="Optimum">
    <w:altName w:val="Liberation Mono"/>
    <w:panose1 w:val="00000000000000000000"/>
    <w:charset w:val="00"/>
    <w:family w:val="auto"/>
    <w:pitch w:val="default"/>
    <w:sig w:usb0="00000000" w:usb1="00000000" w:usb2="00000000" w:usb3="00000000" w:csb0="00000000" w:csb1="00000000"/>
  </w:font>
  <w:font w:name="TmsRmn">
    <w:altName w:val="Times New Roman"/>
    <w:panose1 w:val="00000000000000000000"/>
    <w:charset w:val="00"/>
    <w:family w:val="roman"/>
    <w:pitch w:val="default"/>
    <w:sig w:usb0="00000000" w:usb1="00000000" w:usb2="00000000" w:usb3="00000000" w:csb0="00000000" w:csb1="00000000"/>
  </w:font>
  <w:font w:name="Arial Black">
    <w:panose1 w:val="020B0A04020102020204"/>
    <w:charset w:val="00"/>
    <w:family w:val="swiss"/>
    <w:pitch w:val="default"/>
    <w:sig w:usb0="A00002AF" w:usb1="400078FB" w:usb2="00000000" w:usb3="00000000" w:csb0="6000009F" w:csb1="DFD70000"/>
  </w:font>
  <w:font w:name="Mangal">
    <w:altName w:val="Liberation Mono"/>
    <w:panose1 w:val="00000400000000000000"/>
    <w:charset w:val="01"/>
    <w:family w:val="roman"/>
    <w:pitch w:val="default"/>
    <w:sig w:usb0="00000000" w:usb1="00000000" w:usb2="00000000" w:usb3="00000000" w:csb0="00000000" w:csb1="00000000"/>
  </w:font>
  <w:font w:name="Arial Narrow">
    <w:panose1 w:val="020B0606020202030204"/>
    <w:charset w:val="00"/>
    <w:family w:val="swiss"/>
    <w:pitch w:val="default"/>
    <w:sig w:usb0="00000287" w:usb1="00000800" w:usb2="00000000" w:usb3="00000000" w:csb0="2000009F" w:csb1="DFD70000"/>
  </w:font>
  <w:font w:name="Liberation Serif">
    <w:panose1 w:val="02020603050405020304"/>
    <w:charset w:val="00"/>
    <w:family w:val="roman"/>
    <w:pitch w:val="default"/>
    <w:sig w:usb0="E0000AFF" w:usb1="500078FF" w:usb2="00000021" w:usb3="00000000" w:csb0="600001BF" w:csb1="DFF70000"/>
  </w:font>
  <w:font w:name="Book Antiqua">
    <w:panose1 w:val="02040602050305030304"/>
    <w:charset w:val="00"/>
    <w:family w:val="roman"/>
    <w:pitch w:val="default"/>
    <w:sig w:usb0="00000287" w:usb1="00000000" w:usb2="00000000" w:usb3="00000000" w:csb0="2000009F" w:csb1="DFD70000"/>
  </w:font>
  <w:font w:name="Ecofont_Spranq_eco_Sans">
    <w:altName w:val="Calibri"/>
    <w:panose1 w:val="00000000000000000000"/>
    <w:charset w:val="00"/>
    <w:family w:val="swiss"/>
    <w:pitch w:val="default"/>
    <w:sig w:usb0="00000000" w:usb1="00000000" w:usb2="00000000" w:usb3="00000000" w:csb0="00000001" w:csb1="00000000"/>
  </w:font>
  <w:font w:name="Arial-BoldMT">
    <w:altName w:val="Arial"/>
    <w:panose1 w:val="00000000000000000000"/>
    <w:charset w:val="00"/>
    <w:family w:val="auto"/>
    <w:pitch w:val="default"/>
    <w:sig w:usb0="00000000" w:usb1="00000000" w:usb2="00000000" w:usb3="00000000" w:csb0="00000001" w:csb1="00000000"/>
  </w:font>
  <w:font w:name="OpenSymbol">
    <w:panose1 w:val="05010000000000000000"/>
    <w:charset w:val="00"/>
    <w:family w:val="auto"/>
    <w:pitch w:val="default"/>
    <w:sig w:usb0="800000AF" w:usb1="1001ECEA" w:usb2="00000000" w:usb3="00000000" w:csb0="00000001" w:csb1="00000000"/>
  </w:font>
  <w:font w:name="Liberation Sans">
    <w:panose1 w:val="020B0604020202020204"/>
    <w:charset w:val="00"/>
    <w:family w:val="swiss"/>
    <w:pitch w:val="default"/>
    <w:sig w:usb0="E0000AFF" w:usb1="500078FF" w:usb2="00000021" w:usb3="00000000" w:csb0="600001BF" w:csb1="DFF70000"/>
  </w:font>
  <w:font w:name="Microsoft YaHei">
    <w:panose1 w:val="020B0503020204020204"/>
    <w:charset w:val="86"/>
    <w:family w:val="swiss"/>
    <w:pitch w:val="default"/>
    <w:sig w:usb0="80000287" w:usb1="2ACF3C50" w:usb2="00000016" w:usb3="00000000" w:csb0="0004001F" w:csb1="00000000"/>
  </w:font>
  <w:font w:name="Lucida Sans">
    <w:panose1 w:val="020B0602030504020204"/>
    <w:charset w:val="00"/>
    <w:family w:val="swiss"/>
    <w:pitch w:val="default"/>
    <w:sig w:usb0="00000003" w:usb1="00000000" w:usb2="00000000" w:usb3="00000000" w:csb0="20000001" w:csb1="00000000"/>
  </w:font>
  <w:font w:name="Cambria Math">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auto"/>
    <w:pitch w:val="default"/>
    <w:sig w:usb0="00000000" w:usb1="00000000" w:usb2="00000000" w:usb3="00000000" w:csb0="00000000" w:csb1="00000000"/>
  </w:font>
  <w:font w:name="TimesNewRomanPS-BoldMT">
    <w:altName w:val="Liberation Mono"/>
    <w:panose1 w:val="00000000000000000000"/>
    <w:charset w:val="00"/>
    <w:family w:val="auto"/>
    <w:pitch w:val="default"/>
    <w:sig w:usb0="00000000" w:usb1="00000000" w:usb2="00000000" w:usb3="00000000" w:csb0="00000000" w:csb1="00000000"/>
  </w:font>
  <w:font w:name="Arial-ItalicMT">
    <w:altName w:val="Liberation Mono"/>
    <w:panose1 w:val="00000000000000000000"/>
    <w:charset w:val="00"/>
    <w:family w:val="auto"/>
    <w:pitch w:val="default"/>
    <w:sig w:usb0="00000000" w:usb1="00000000" w:usb2="00000000" w:usb3="00000000" w:csb0="00000000" w:csb1="00000000"/>
  </w:font>
  <w:font w:name="STIX-Regular">
    <w:altName w:val="Liberation Mono"/>
    <w:panose1 w:val="00000000000000000000"/>
    <w:charset w:val="00"/>
    <w:family w:val="auto"/>
    <w:pitch w:val="default"/>
    <w:sig w:usb0="00000000" w:usb1="00000000" w:usb2="00000000" w:usb3="00000000" w:csb0="00000000" w:csb1="00000000"/>
  </w:font>
  <w:font w:name="ArialMT">
    <w:altName w:val="Liberation Mono"/>
    <w:panose1 w:val="00000000000000000000"/>
    <w:charset w:val="00"/>
    <w:family w:val="swiss"/>
    <w:pitch w:val="default"/>
    <w:sig w:usb0="00000000" w:usb1="00000000" w:usb2="00000000" w:usb3="00000000" w:csb0="00000000" w:csb1="00000000"/>
  </w:font>
  <w:font w:name="Century Gothic">
    <w:panose1 w:val="020B0502020202020204"/>
    <w:charset w:val="00"/>
    <w:family w:val="swiss"/>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Bdr>
        <w:top w:val="single" w:color="auto" w:sz="4" w:space="1"/>
      </w:pBdr>
      <w:jc w:val="center"/>
      <w:rPr>
        <w:rFonts w:ascii="Book Antiqua" w:hAnsi="Book Antiqua"/>
        <w:sz w:val="16"/>
        <w:szCs w:val="16"/>
      </w:rPr>
    </w:pPr>
  </w:p>
  <w:p>
    <w:pPr>
      <w:pStyle w:val="36"/>
      <w:pBdr>
        <w:top w:val="single" w:color="auto" w:sz="4" w:space="1"/>
      </w:pBdr>
      <w:jc w:val="center"/>
      <w:rPr>
        <w:rFonts w:ascii="Book Antiqua" w:hAnsi="Book Antiqua" w:cs="Arial"/>
        <w:sz w:val="18"/>
        <w:szCs w:val="18"/>
      </w:rPr>
    </w:pPr>
    <w:r>
      <w:rPr>
        <w:rFonts w:ascii="Book Antiqua" w:hAnsi="Book Antiqua"/>
        <w:sz w:val="16"/>
        <w:szCs w:val="16"/>
      </w:rPr>
      <w:t>Av. Tancredo Neves, n.º 2.166 – Setor Institucional - CEP: 76.872-854, Telefone: (69) 3516-2020</w:t>
    </w:r>
    <w:r>
      <w:rPr>
        <w:rFonts w:ascii="Book Antiqua" w:hAnsi="Book Antiqua"/>
        <w:sz w:val="18"/>
        <w:szCs w:val="18"/>
      </w:rPr>
      <w:t>.</w:t>
    </w:r>
  </w:p>
  <w:p>
    <w:pPr>
      <w:jc w:val="right"/>
      <w:rPr>
        <w:rFonts w:ascii="Book Antiqua" w:hAnsi="Book Antiqua" w:cs="Book Antiqua"/>
        <w:sz w:val="20"/>
        <w:szCs w:val="20"/>
      </w:rPr>
    </w:pPr>
    <w:r>
      <w:rPr>
        <w:rFonts w:ascii="Book Antiqua" w:hAnsi="Book Antiqua" w:cs="Book Antiqua"/>
        <w:sz w:val="20"/>
        <w:szCs w:val="20"/>
      </w:rPr>
      <w:t>JJA</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1013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70" w:type="dxa"/>
        <w:bottom w:w="0" w:type="dxa"/>
        <w:right w:w="70" w:type="dxa"/>
      </w:tblCellMar>
    </w:tblPr>
    <w:tblGrid>
      <w:gridCol w:w="2128"/>
      <w:gridCol w:w="800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70" w:type="dxa"/>
          <w:bottom w:w="0" w:type="dxa"/>
          <w:right w:w="70" w:type="dxa"/>
        </w:tblCellMar>
      </w:tblPrEx>
      <w:trPr>
        <w:trHeight w:val="1099" w:hRule="atLeast"/>
      </w:trPr>
      <w:tc>
        <w:tcPr>
          <w:tcW w:w="2128" w:type="dxa"/>
          <w:tcBorders>
            <w:top w:val="double" w:color="auto" w:sz="4" w:space="0"/>
            <w:left w:val="nil"/>
            <w:bottom w:val="double" w:color="auto" w:sz="4" w:space="0"/>
            <w:right w:val="nil"/>
          </w:tcBorders>
        </w:tcPr>
        <w:p>
          <w:pPr>
            <w:rPr>
              <w:rFonts w:ascii="Arial" w:hAnsi="Arial" w:cs="Arial"/>
            </w:rPr>
          </w:pPr>
          <w:r>
            <w:rPr>
              <w:rFonts w:ascii="Arial" w:hAnsi="Arial" w:cs="Arial"/>
            </w:rPr>
            <w:drawing>
              <wp:anchor distT="0" distB="0" distL="114300" distR="114300" simplePos="0" relativeHeight="251660288" behindDoc="0" locked="0" layoutInCell="1" allowOverlap="1">
                <wp:simplePos x="0" y="0"/>
                <wp:positionH relativeFrom="column">
                  <wp:posOffset>426085</wp:posOffset>
                </wp:positionH>
                <wp:positionV relativeFrom="paragraph">
                  <wp:posOffset>33020</wp:posOffset>
                </wp:positionV>
                <wp:extent cx="698500" cy="629285"/>
                <wp:effectExtent l="0" t="0" r="0" b="0"/>
                <wp:wrapNone/>
                <wp:docPr id="5" name="Imagem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54"/>
                        <pic:cNvPicPr>
                          <a:picLocks noChangeAspect="1" noChangeArrowheads="1"/>
                        </pic:cNvPicPr>
                      </pic:nvPicPr>
                      <pic:blipFill>
                        <a:blip r:embed="rId1">
                          <a:lum contrast="6000"/>
                          <a:extLst>
                            <a:ext uri="{28A0092B-C50C-407E-A947-70E740481C1C}">
                              <a14:useLocalDpi xmlns:a14="http://schemas.microsoft.com/office/drawing/2010/main" val="0"/>
                            </a:ext>
                          </a:extLst>
                        </a:blip>
                        <a:srcRect/>
                        <a:stretch>
                          <a:fillRect/>
                        </a:stretch>
                      </pic:blipFill>
                      <pic:spPr>
                        <a:xfrm>
                          <a:off x="0" y="0"/>
                          <a:ext cx="703032" cy="633151"/>
                        </a:xfrm>
                        <a:prstGeom prst="rect">
                          <a:avLst/>
                        </a:prstGeom>
                        <a:noFill/>
                        <a:ln w="9525">
                          <a:noFill/>
                          <a:miter lim="800000"/>
                          <a:headEnd/>
                          <a:tailEnd/>
                        </a:ln>
                      </pic:spPr>
                    </pic:pic>
                  </a:graphicData>
                </a:graphic>
              </wp:anchor>
            </w:drawing>
          </w:r>
        </w:p>
      </w:tc>
      <w:tc>
        <w:tcPr>
          <w:tcW w:w="8007" w:type="dxa"/>
          <w:tcBorders>
            <w:top w:val="double" w:color="auto" w:sz="4" w:space="0"/>
            <w:left w:val="nil"/>
            <w:bottom w:val="double" w:color="auto" w:sz="4" w:space="0"/>
            <w:right w:val="nil"/>
          </w:tcBorders>
          <w:vAlign w:val="center"/>
        </w:tcPr>
        <w:p>
          <w:pPr>
            <w:ind w:left="180" w:right="1705" w:rightChars="775"/>
            <w:jc w:val="center"/>
            <w:rPr>
              <w:b/>
              <w:bCs/>
              <w:szCs w:val="20"/>
            </w:rPr>
          </w:pPr>
          <w:r>
            <w:rPr>
              <w:b/>
              <w:szCs w:val="20"/>
            </w:rPr>
            <w:t>ESTADO DE RONDÔNIA</w:t>
          </w:r>
        </w:p>
        <w:p>
          <w:pPr>
            <w:ind w:left="180" w:right="1705" w:rightChars="775"/>
            <w:jc w:val="center"/>
            <w:rPr>
              <w:b/>
              <w:bCs/>
              <w:sz w:val="24"/>
              <w:szCs w:val="20"/>
            </w:rPr>
          </w:pPr>
          <w:r>
            <w:rPr>
              <w:b/>
              <w:sz w:val="24"/>
              <w:szCs w:val="20"/>
            </w:rPr>
            <w:t>PREFEITURA MUNICIPAL DE ARIQUEMES</w:t>
          </w:r>
        </w:p>
        <w:p>
          <w:pPr>
            <w:ind w:left="180" w:right="1705" w:rightChars="775"/>
            <w:jc w:val="center"/>
            <w:rPr>
              <w:b/>
              <w:bCs/>
              <w:sz w:val="18"/>
            </w:rPr>
          </w:pPr>
          <w:r>
            <w:rPr>
              <w:b/>
              <w:bCs/>
              <w:sz w:val="18"/>
            </w:rPr>
            <w:t>SUPERINTENDENCIA MUNICIPAL DE LICITAÇÕES</w:t>
          </w:r>
        </w:p>
        <w:p>
          <w:pPr>
            <w:ind w:right="1705" w:rightChars="775"/>
            <w:jc w:val="center"/>
            <w:rPr>
              <w:rFonts w:ascii="Book Antiqua" w:hAnsi="Book Antiqua" w:cs="Arial"/>
              <w:bCs/>
              <w:sz w:val="14"/>
              <w:szCs w:val="14"/>
            </w:rPr>
          </w:pPr>
          <w:r>
            <w:rPr>
              <w:b/>
              <w:bCs/>
              <w:color w:val="000000"/>
              <w:sz w:val="18"/>
            </w:rPr>
            <w:t>LICITAÇÃO MODALIDADE PREGÃO ELETRÔNICO</w:t>
          </w:r>
        </w:p>
      </w:tc>
    </w:tr>
  </w:tbl>
  <w:p>
    <w:pPr>
      <w:pStyle w:val="34"/>
    </w:pPr>
    <w:r>
      <w:pict>
        <v:shape id="Text Box 195" o:spid="_x0000_s2049" o:spt="202" type="#_x0000_t202" style="position:absolute;left:0pt;margin-left:597.65pt;margin-top:44.6pt;height:45.35pt;width:78.7pt;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LmutQIAALoFAAAOAAAAZHJzL2Uyb0RvYy54bWysVNtunDAQfa/Uf7D8TrjU7C4obJQsS1Up&#10;vUhJP8ALZrEKNrW9C2nVf+/Y7C3JS9WWB2R7xmfOzBzP9c3YtWjPlOZSZDi8CjBiopQVF9sMf30s&#10;vAVG2lBR0VYKluEnpvHN8u2b66FPWSQb2VZMIQAROh36DDfG9Knv67JhHdVXsmcCjLVUHTWwVVu/&#10;UnQA9K71oyCY+YNUVa9kybSG03wy4qXDr2tWms91rZlBbYaBm3F/5f4b+/eX1zTdKto3vDzQoH/B&#10;oqNcQNATVE4NRTvFX0F1vFRSy9pclbLzZV3zkrkcIJsweJHNQ0N75nKB4uj+VCb9/2DLT/svCvEq&#10;w9AoQTto0SMbDbqTIwqT2NZn6HUKbg89OJoRDNBnl6vu72X5TSMhVw0VW3arlBwaRivgF9qb/sXV&#10;CUdbkM3wUVYQiO6MdEBjrTpbPCgHAnTo09OpN5ZMCYdJkpAELCWY4nmcEMfNp+nxcq+0ec9kh+wi&#10;wwpa78Dp/l4bS4amRxcbS8iCt61rfyueHYDjdAKh4aq1WRKumz+TIFkv1gvikWi29kiQ595tsSLe&#10;rAjncf4uX63y8JeNG5K04VXFhA1zVFZI/qxzB41PmjhpS8uWVxbOUtJqu1m1Cu0pKLtwnys5WM5u&#10;/nMargiQy4uUwogEd1HiFbPF3CMFib1kHiy8IEzukllAEpIXz1O654L9e0pogK7GUTxp6Uz6RW6B&#10;+17nRtOOG5gdLe9AvCcnmloFrkXlWmsob6f1RSks/XMpoN3HRju9WolOYjXjZgQUK+KNrJ5AuUqC&#10;skCEMPBg0Uj1A6MBhkeG9fcdVQyj9oMA9SchIXbauA2J5xFs1KVlc2mhogSoDBuMpuXKTBNq1yu+&#10;bSDS9N6EvIUXU3On5jOrwzuDAeGSOgwzO4Eu987rPHKXvwEAAP//AwBQSwMEFAAGAAgAAAAhANo8&#10;53jfAAAADAEAAA8AAABkcnMvZG93bnJldi54bWxMj8FOwzAMhu9IvENkJG4sWUfZUppOCMQVtMEm&#10;cctar61onKrJ1vL2eCe4+Zc//f6cryfXiTMOofVkYD5TIJBKX7VUG/j8eL1bgQjRUmU7T2jgBwOs&#10;i+ur3GaVH2mD522sBZdQyKyBJsY+kzKUDTobZr5H4t3RD85GjkMtq8GOXO46mSj1IJ1tiS80tsfn&#10;Bsvv7ckZ2L0dv/b36r1+cWk/+klJcloac3szPT2CiDjFPxgu+qwOBTsd/ImqIDrOc50umDWw0gmI&#10;C7FIkyWIA09LrUEWufz/RPELAAD//wMAUEsBAi0AFAAGAAgAAAAhALaDOJL+AAAA4QEAABMAAAAA&#10;AAAAAAAAAAAAAAAAAFtDb250ZW50X1R5cGVzXS54bWxQSwECLQAUAAYACAAAACEAOP0h/9YAAACU&#10;AQAACwAAAAAAAAAAAAAAAAAvAQAAX3JlbHMvLnJlbHNQSwECLQAUAAYACAAAACEANPC5rrUCAAC6&#10;BQAADgAAAAAAAAAAAAAAAAAuAgAAZHJzL2Uyb0RvYy54bWxQSwECLQAUAAYACAAAACEA2jzneN8A&#10;AAAMAQAADwAAAAAAAAAAAAAAAAAPBQAAZHJzL2Rvd25yZXYueG1sUEsFBgAAAAAEAAQA8wAAABsG&#10;AAAAAA==&#10;">
          <v:path/>
          <v:fill on="f" focussize="0,0"/>
          <v:stroke on="f" joinstyle="miter"/>
          <v:imagedata o:title=""/>
          <o:lock v:ext="edit"/>
          <v:textbox>
            <w:txbxContent>
              <w:p/>
            </w:txbxContent>
          </v:textbox>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2"/>
      <w:tblW w:w="985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70" w:type="dxa"/>
        <w:bottom w:w="0" w:type="dxa"/>
        <w:right w:w="70" w:type="dxa"/>
      </w:tblCellMar>
    </w:tblPr>
    <w:tblGrid>
      <w:gridCol w:w="1844"/>
      <w:gridCol w:w="5597"/>
      <w:gridCol w:w="241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70" w:type="dxa"/>
          <w:bottom w:w="0" w:type="dxa"/>
          <w:right w:w="70" w:type="dxa"/>
        </w:tblCellMar>
      </w:tblPrEx>
      <w:trPr>
        <w:trHeight w:val="1255" w:hRule="atLeast"/>
      </w:trPr>
      <w:tc>
        <w:tcPr>
          <w:tcW w:w="1844" w:type="dxa"/>
          <w:tcBorders>
            <w:top w:val="single" w:color="auto" w:sz="4" w:space="0"/>
            <w:left w:val="single" w:color="auto" w:sz="4" w:space="0"/>
            <w:bottom w:val="single" w:color="auto" w:sz="4" w:space="0"/>
            <w:right w:val="nil"/>
          </w:tcBorders>
        </w:tcPr>
        <w:p>
          <w:pPr>
            <w:rPr>
              <w:rFonts w:ascii="Arial" w:hAnsi="Arial" w:cs="Arial"/>
            </w:rPr>
          </w:pPr>
          <w:r>
            <w:rPr>
              <w:rFonts w:ascii="Arial" w:hAnsi="Arial" w:cs="Arial"/>
            </w:rPr>
            <w:drawing>
              <wp:inline distT="0" distB="0" distL="0" distR="0">
                <wp:extent cx="838200" cy="790575"/>
                <wp:effectExtent l="19050" t="0" r="0" b="0"/>
                <wp:docPr id="6" name="Imagem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54"/>
                        <pic:cNvPicPr>
                          <a:picLocks noChangeAspect="1" noChangeArrowheads="1"/>
                        </pic:cNvPicPr>
                      </pic:nvPicPr>
                      <pic:blipFill>
                        <a:blip r:embed="rId1">
                          <a:lum contrast="6000"/>
                        </a:blip>
                        <a:srcRect/>
                        <a:stretch>
                          <a:fillRect/>
                        </a:stretch>
                      </pic:blipFill>
                      <pic:spPr>
                        <a:xfrm>
                          <a:off x="0" y="0"/>
                          <a:ext cx="838200" cy="790575"/>
                        </a:xfrm>
                        <a:prstGeom prst="rect">
                          <a:avLst/>
                        </a:prstGeom>
                        <a:noFill/>
                        <a:ln w="9525">
                          <a:noFill/>
                          <a:miter lim="800000"/>
                          <a:headEnd/>
                          <a:tailEnd/>
                        </a:ln>
                      </pic:spPr>
                    </pic:pic>
                  </a:graphicData>
                </a:graphic>
              </wp:inline>
            </w:drawing>
          </w:r>
        </w:p>
      </w:tc>
      <w:tc>
        <w:tcPr>
          <w:tcW w:w="5597" w:type="dxa"/>
          <w:tcBorders>
            <w:top w:val="single" w:color="auto" w:sz="4" w:space="0"/>
            <w:left w:val="nil"/>
            <w:bottom w:val="single" w:color="auto" w:sz="4" w:space="0"/>
            <w:right w:val="single" w:color="auto" w:sz="4" w:space="0"/>
          </w:tcBorders>
        </w:tcPr>
        <w:p>
          <w:pPr>
            <w:ind w:left="180"/>
            <w:jc w:val="center"/>
            <w:rPr>
              <w:b/>
              <w:bCs/>
            </w:rPr>
          </w:pPr>
          <w:r>
            <w:rPr>
              <w:b/>
            </w:rPr>
            <w:t>ESTADO DE RONDÔNIA</w:t>
          </w:r>
        </w:p>
        <w:p>
          <w:pPr>
            <w:ind w:left="180"/>
            <w:jc w:val="center"/>
            <w:rPr>
              <w:b/>
              <w:bCs/>
            </w:rPr>
          </w:pPr>
          <w:r>
            <w:rPr>
              <w:b/>
            </w:rPr>
            <w:t>PREFEITURA MUNICIPAL DE ARIQUEMES</w:t>
          </w:r>
        </w:p>
        <w:p>
          <w:pPr>
            <w:jc w:val="center"/>
            <w:rPr>
              <w:b/>
              <w:bCs/>
              <w:color w:val="000000"/>
            </w:rPr>
          </w:pPr>
          <w:r>
            <w:rPr>
              <w:b/>
              <w:color w:val="000000"/>
            </w:rPr>
            <w:t>LICITAÇÃO MODALIDADE PREGÃO ELETRONICO</w:t>
          </w:r>
        </w:p>
        <w:p>
          <w:pPr>
            <w:jc w:val="center"/>
            <w:rPr>
              <w:rFonts w:ascii="Book Antiqua" w:hAnsi="Book Antiqua" w:cs="Arial"/>
              <w:b/>
              <w:bCs/>
              <w:sz w:val="28"/>
              <w:szCs w:val="28"/>
            </w:rPr>
          </w:pPr>
          <w:r>
            <w:rPr>
              <w:b/>
              <w:color w:val="000000"/>
            </w:rPr>
            <w:t>Decreto Municipal nº. 4716 de 25 de abril de 2006</w:t>
          </w:r>
        </w:p>
      </w:tc>
      <w:tc>
        <w:tcPr>
          <w:tcW w:w="2410" w:type="dxa"/>
          <w:tcBorders>
            <w:top w:val="single" w:color="auto" w:sz="4" w:space="0"/>
            <w:left w:val="nil"/>
            <w:bottom w:val="single" w:color="auto" w:sz="4" w:space="0"/>
            <w:right w:val="single" w:color="auto" w:sz="4" w:space="0"/>
          </w:tcBorders>
        </w:tcPr>
        <w:p>
          <w:pPr>
            <w:jc w:val="center"/>
            <w:rPr>
              <w:b/>
              <w:bCs/>
            </w:rPr>
          </w:pPr>
          <w:r>
            <w:rPr>
              <w:b/>
            </w:rPr>
            <w:t>391/SEMPOG/2017</w:t>
          </w:r>
        </w:p>
        <w:p>
          <w:pPr>
            <w:jc w:val="center"/>
            <w:rPr>
              <w:b/>
              <w:bCs/>
            </w:rPr>
          </w:pPr>
        </w:p>
        <w:p>
          <w:pPr>
            <w:jc w:val="center"/>
            <w:rPr>
              <w:b/>
              <w:bCs/>
            </w:rPr>
          </w:pPr>
          <w:r>
            <w:rPr>
              <w:b/>
            </w:rPr>
            <w:t>FLS.________</w:t>
          </w:r>
        </w:p>
        <w:p>
          <w:pPr>
            <w:jc w:val="center"/>
            <w:rPr>
              <w:b/>
              <w:bCs/>
            </w:rPr>
          </w:pPr>
        </w:p>
        <w:p>
          <w:pPr>
            <w:jc w:val="center"/>
            <w:rPr>
              <w:rFonts w:ascii="Book Antiqua" w:hAnsi="Book Antiqua" w:cs="Arial"/>
              <w:b/>
              <w:bCs/>
              <w:sz w:val="28"/>
              <w:szCs w:val="28"/>
            </w:rPr>
          </w:pPr>
          <w:r>
            <w:rPr>
              <w:b/>
            </w:rPr>
            <w:t>____________</w:t>
          </w:r>
        </w:p>
      </w:tc>
    </w:tr>
  </w:tbl>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46"/>
      <w:lvlText w:val=""/>
      <w:lvlJc w:val="left"/>
      <w:pPr>
        <w:tabs>
          <w:tab w:val="left" w:pos="360"/>
        </w:tabs>
        <w:ind w:left="360" w:hanging="360"/>
      </w:pPr>
      <w:rPr>
        <w:rFonts w:hint="default" w:ascii="Symbol" w:hAnsi="Symbol"/>
      </w:rPr>
    </w:lvl>
  </w:abstractNum>
  <w:abstractNum w:abstractNumId="1">
    <w:nsid w:val="15E9473B"/>
    <w:multiLevelType w:val="multilevel"/>
    <w:tmpl w:val="15E9473B"/>
    <w:lvl w:ilvl="0" w:tentative="0">
      <w:start w:val="1"/>
      <w:numFmt w:val="lowerLetter"/>
      <w:lvlText w:val="%1)"/>
      <w:lvlJc w:val="left"/>
      <w:pPr>
        <w:ind w:left="900" w:hanging="360"/>
      </w:pPr>
      <w:rPr>
        <w:rFonts w:hint="default"/>
        <w:b/>
      </w:rPr>
    </w:lvl>
    <w:lvl w:ilvl="1" w:tentative="0">
      <w:start w:val="1"/>
      <w:numFmt w:val="lowerLetter"/>
      <w:lvlText w:val="%2."/>
      <w:lvlJc w:val="left"/>
      <w:pPr>
        <w:ind w:left="1620" w:hanging="360"/>
      </w:pPr>
    </w:lvl>
    <w:lvl w:ilvl="2" w:tentative="0">
      <w:start w:val="1"/>
      <w:numFmt w:val="lowerRoman"/>
      <w:lvlText w:val="%3."/>
      <w:lvlJc w:val="right"/>
      <w:pPr>
        <w:ind w:left="2340" w:hanging="180"/>
      </w:pPr>
    </w:lvl>
    <w:lvl w:ilvl="3" w:tentative="0">
      <w:start w:val="1"/>
      <w:numFmt w:val="decimal"/>
      <w:lvlText w:val="%4."/>
      <w:lvlJc w:val="left"/>
      <w:pPr>
        <w:ind w:left="3060" w:hanging="360"/>
      </w:pPr>
    </w:lvl>
    <w:lvl w:ilvl="4" w:tentative="0">
      <w:start w:val="1"/>
      <w:numFmt w:val="lowerLetter"/>
      <w:lvlText w:val="%5."/>
      <w:lvlJc w:val="left"/>
      <w:pPr>
        <w:ind w:left="3780" w:hanging="360"/>
      </w:pPr>
    </w:lvl>
    <w:lvl w:ilvl="5" w:tentative="0">
      <w:start w:val="1"/>
      <w:numFmt w:val="lowerRoman"/>
      <w:lvlText w:val="%6."/>
      <w:lvlJc w:val="right"/>
      <w:pPr>
        <w:ind w:left="4500" w:hanging="180"/>
      </w:pPr>
    </w:lvl>
    <w:lvl w:ilvl="6" w:tentative="0">
      <w:start w:val="1"/>
      <w:numFmt w:val="decimal"/>
      <w:lvlText w:val="%7."/>
      <w:lvlJc w:val="left"/>
      <w:pPr>
        <w:ind w:left="5220" w:hanging="360"/>
      </w:pPr>
    </w:lvl>
    <w:lvl w:ilvl="7" w:tentative="0">
      <w:start w:val="1"/>
      <w:numFmt w:val="lowerLetter"/>
      <w:lvlText w:val="%8."/>
      <w:lvlJc w:val="left"/>
      <w:pPr>
        <w:ind w:left="5940" w:hanging="360"/>
      </w:pPr>
    </w:lvl>
    <w:lvl w:ilvl="8" w:tentative="0">
      <w:start w:val="1"/>
      <w:numFmt w:val="lowerRoman"/>
      <w:lvlText w:val="%9."/>
      <w:lvlJc w:val="right"/>
      <w:pPr>
        <w:ind w:left="6660" w:hanging="180"/>
      </w:pPr>
    </w:lvl>
  </w:abstractNum>
  <w:abstractNum w:abstractNumId="2">
    <w:nsid w:val="1D5C100D"/>
    <w:multiLevelType w:val="multilevel"/>
    <w:tmpl w:val="1D5C100D"/>
    <w:lvl w:ilvl="0" w:tentative="0">
      <w:start w:val="1"/>
      <w:numFmt w:val="decimal"/>
      <w:pStyle w:val="566"/>
      <w:lvlText w:val="%1."/>
      <w:lvlJc w:val="left"/>
      <w:pPr>
        <w:ind w:left="360" w:hanging="360"/>
      </w:pPr>
      <w:rPr>
        <w:rFonts w:hint="default"/>
        <w:b/>
      </w:rPr>
    </w:lvl>
    <w:lvl w:ilvl="1" w:tentative="0">
      <w:start w:val="1"/>
      <w:numFmt w:val="decimal"/>
      <w:lvlText w:val="%1.%2."/>
      <w:lvlJc w:val="left"/>
      <w:pPr>
        <w:ind w:left="999" w:hanging="432"/>
      </w:pPr>
      <w:rPr>
        <w:rFonts w:hint="default" w:ascii="Arial" w:hAnsi="Arial" w:cs="Arial"/>
        <w:b w:val="0"/>
        <w:i w:val="0"/>
        <w:strike w:val="0"/>
        <w:color w:val="auto"/>
        <w:sz w:val="20"/>
        <w:szCs w:val="20"/>
        <w:u w:val="none"/>
      </w:rPr>
    </w:lvl>
    <w:lvl w:ilvl="2" w:tentative="0">
      <w:start w:val="1"/>
      <w:numFmt w:val="lowerLetter"/>
      <w:lvlText w:val="%3)"/>
      <w:lvlJc w:val="left"/>
      <w:pPr>
        <w:ind w:left="1638" w:hanging="504"/>
      </w:pPr>
      <w:rPr>
        <w:rFonts w:hint="default" w:ascii="Book Antiqua" w:hAnsi="Book Antiqua" w:eastAsia="Times New Roman" w:cs="Arial"/>
        <w:b/>
        <w:bCs/>
        <w:i w:val="0"/>
        <w:strike w:val="0"/>
        <w:color w:val="auto"/>
        <w:sz w:val="22"/>
        <w:szCs w:val="22"/>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3">
    <w:nsid w:val="380B3382"/>
    <w:multiLevelType w:val="multilevel"/>
    <w:tmpl w:val="380B3382"/>
    <w:lvl w:ilvl="0" w:tentative="0">
      <w:start w:val="1"/>
      <w:numFmt w:val="decimal"/>
      <w:lvlText w:val="%1"/>
      <w:lvlJc w:val="left"/>
      <w:pPr>
        <w:ind w:left="540" w:hanging="540"/>
      </w:pPr>
      <w:rPr>
        <w:rFonts w:hint="default"/>
      </w:rPr>
    </w:lvl>
    <w:lvl w:ilvl="1" w:tentative="0">
      <w:start w:val="1"/>
      <w:numFmt w:val="decimal"/>
      <w:lvlText w:val="%1.%2"/>
      <w:lvlJc w:val="left"/>
      <w:pPr>
        <w:ind w:left="823" w:hanging="540"/>
      </w:pPr>
      <w:rPr>
        <w:rFonts w:hint="default"/>
      </w:rPr>
    </w:lvl>
    <w:lvl w:ilvl="2" w:tentative="0">
      <w:start w:val="1"/>
      <w:numFmt w:val="decimal"/>
      <w:lvlText w:val="%1.%2.%3"/>
      <w:lvlJc w:val="left"/>
      <w:pPr>
        <w:ind w:left="1286" w:hanging="720"/>
      </w:pPr>
      <w:rPr>
        <w:rFonts w:hint="default"/>
      </w:rPr>
    </w:lvl>
    <w:lvl w:ilvl="3" w:tentative="0">
      <w:start w:val="1"/>
      <w:numFmt w:val="decimal"/>
      <w:lvlText w:val="%1.%2.%3.%4"/>
      <w:lvlJc w:val="left"/>
      <w:pPr>
        <w:ind w:left="1569" w:hanging="720"/>
      </w:pPr>
      <w:rPr>
        <w:rFonts w:hint="default"/>
        <w:b/>
      </w:rPr>
    </w:lvl>
    <w:lvl w:ilvl="4" w:tentative="0">
      <w:start w:val="1"/>
      <w:numFmt w:val="decimal"/>
      <w:lvlText w:val="%1.%2.%3.%4.%5"/>
      <w:lvlJc w:val="left"/>
      <w:pPr>
        <w:ind w:left="2212" w:hanging="1080"/>
      </w:pPr>
      <w:rPr>
        <w:rFonts w:hint="default"/>
      </w:rPr>
    </w:lvl>
    <w:lvl w:ilvl="5" w:tentative="0">
      <w:start w:val="1"/>
      <w:numFmt w:val="decimal"/>
      <w:lvlText w:val="%1.%2.%3.%4.%5.%6"/>
      <w:lvlJc w:val="left"/>
      <w:pPr>
        <w:ind w:left="2495" w:hanging="1080"/>
      </w:pPr>
      <w:rPr>
        <w:rFonts w:hint="default"/>
      </w:rPr>
    </w:lvl>
    <w:lvl w:ilvl="6" w:tentative="0">
      <w:start w:val="1"/>
      <w:numFmt w:val="decimal"/>
      <w:lvlText w:val="%1.%2.%3.%4.%5.%6.%7"/>
      <w:lvlJc w:val="left"/>
      <w:pPr>
        <w:ind w:left="3138" w:hanging="1440"/>
      </w:pPr>
      <w:rPr>
        <w:rFonts w:hint="default"/>
      </w:rPr>
    </w:lvl>
    <w:lvl w:ilvl="7" w:tentative="0">
      <w:start w:val="1"/>
      <w:numFmt w:val="decimal"/>
      <w:lvlText w:val="%1.%2.%3.%4.%5.%6.%7.%8"/>
      <w:lvlJc w:val="left"/>
      <w:pPr>
        <w:ind w:left="3781" w:hanging="1800"/>
      </w:pPr>
      <w:rPr>
        <w:rFonts w:hint="default"/>
      </w:rPr>
    </w:lvl>
    <w:lvl w:ilvl="8" w:tentative="0">
      <w:start w:val="1"/>
      <w:numFmt w:val="decimal"/>
      <w:lvlText w:val="%1.%2.%3.%4.%5.%6.%7.%8.%9"/>
      <w:lvlJc w:val="left"/>
      <w:pPr>
        <w:ind w:left="4064" w:hanging="1800"/>
      </w:pPr>
      <w:rPr>
        <w:rFonts w:hint="default"/>
      </w:rPr>
    </w:lvl>
  </w:abstractNum>
  <w:abstractNum w:abstractNumId="4">
    <w:nsid w:val="3BDF27EA"/>
    <w:multiLevelType w:val="multilevel"/>
    <w:tmpl w:val="3BDF27EA"/>
    <w:lvl w:ilvl="0" w:tentative="0">
      <w:start w:val="1"/>
      <w:numFmt w:val="lowerLetter"/>
      <w:lvlText w:val="%1)"/>
      <w:lvlJc w:val="left"/>
      <w:pPr>
        <w:ind w:left="540" w:hanging="540"/>
      </w:pPr>
      <w:rPr>
        <w:rFonts w:ascii="Book Antiqua" w:hAnsi="Book Antiqua" w:eastAsia="Times New Roman" w:cs="Times New Roman"/>
        <w:b/>
        <w:bCs/>
      </w:rPr>
    </w:lvl>
    <w:lvl w:ilvl="1" w:tentative="0">
      <w:start w:val="1"/>
      <w:numFmt w:val="decimal"/>
      <w:lvlText w:val="%1.%2."/>
      <w:lvlJc w:val="left"/>
      <w:pPr>
        <w:ind w:left="720" w:hanging="720"/>
      </w:pPr>
      <w:rPr>
        <w:rFonts w:hint="default"/>
        <w:b/>
        <w:bCs w:val="0"/>
      </w:rPr>
    </w:lvl>
    <w:lvl w:ilvl="2" w:tentative="0">
      <w:start w:val="1"/>
      <w:numFmt w:val="decimal"/>
      <w:lvlText w:val="%1.%2.%3."/>
      <w:lvlJc w:val="left"/>
      <w:pPr>
        <w:ind w:left="720" w:hanging="720"/>
      </w:pPr>
      <w:rPr>
        <w:rFonts w:hint="default"/>
        <w:b/>
        <w:bCs/>
        <w:sz w:val="22"/>
        <w:szCs w:val="22"/>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5">
    <w:nsid w:val="43990182"/>
    <w:multiLevelType w:val="multilevel"/>
    <w:tmpl w:val="43990182"/>
    <w:lvl w:ilvl="0" w:tentative="0">
      <w:start w:val="1"/>
      <w:numFmt w:val="decimal"/>
      <w:lvlText w:val="%1."/>
      <w:lvlJc w:val="left"/>
      <w:pPr>
        <w:ind w:left="360" w:hanging="360"/>
      </w:pPr>
      <w:rPr>
        <w:rFonts w:hint="default" w:ascii="Book Antiqua" w:hAnsi="Book Antiqua" w:cs="Book Antiqua"/>
        <w:b/>
        <w:sz w:val="22"/>
        <w:szCs w:val="22"/>
      </w:rPr>
    </w:lvl>
    <w:lvl w:ilvl="1" w:tentative="0">
      <w:start w:val="1"/>
      <w:numFmt w:val="decimal"/>
      <w:lvlText w:val="%1.%2."/>
      <w:lvlJc w:val="left"/>
      <w:pPr>
        <w:ind w:left="720" w:hanging="720"/>
      </w:pPr>
      <w:rPr>
        <w:rFonts w:hint="default" w:ascii="Book Antiqua" w:hAnsi="Book Antiqua" w:cs="Book Antiqua"/>
        <w:b/>
        <w:bCs/>
        <w:sz w:val="22"/>
        <w:szCs w:val="22"/>
      </w:rPr>
    </w:lvl>
    <w:lvl w:ilvl="2" w:tentative="0">
      <w:start w:val="1"/>
      <w:numFmt w:val="decimal"/>
      <w:lvlText w:val="%1.%2.%3."/>
      <w:lvlJc w:val="left"/>
      <w:pPr>
        <w:ind w:left="1004" w:hanging="720"/>
      </w:pPr>
      <w:rPr>
        <w:rFonts w:hint="default" w:ascii="Book Antiqua" w:hAnsi="Book Antiqua" w:cs="Book Antiqua"/>
        <w:b/>
        <w:bCs/>
        <w:color w:val="auto"/>
        <w:sz w:val="22"/>
        <w:szCs w:val="22"/>
      </w:rPr>
    </w:lvl>
    <w:lvl w:ilvl="3" w:tentative="0">
      <w:start w:val="1"/>
      <w:numFmt w:val="decimal"/>
      <w:lvlText w:val="%1.%2.%3.%4."/>
      <w:lvlJc w:val="left"/>
      <w:pPr>
        <w:ind w:left="1080" w:hanging="1080"/>
      </w:pPr>
      <w:rPr>
        <w:rFonts w:hint="default"/>
        <w:b/>
      </w:rPr>
    </w:lvl>
    <w:lvl w:ilvl="4" w:tentative="0">
      <w:start w:val="1"/>
      <w:numFmt w:val="decimal"/>
      <w:lvlText w:val="%1.%2.%3.%4.%5."/>
      <w:lvlJc w:val="left"/>
      <w:pPr>
        <w:ind w:left="1080" w:hanging="1080"/>
      </w:pPr>
      <w:rPr>
        <w:rFonts w:hint="default"/>
        <w:b/>
      </w:rPr>
    </w:lvl>
    <w:lvl w:ilvl="5" w:tentative="0">
      <w:start w:val="1"/>
      <w:numFmt w:val="decimal"/>
      <w:lvlText w:val="%1.%2.%3.%4.%5.%6."/>
      <w:lvlJc w:val="left"/>
      <w:pPr>
        <w:ind w:left="1440" w:hanging="1440"/>
      </w:pPr>
      <w:rPr>
        <w:rFonts w:hint="default"/>
        <w:b/>
      </w:rPr>
    </w:lvl>
    <w:lvl w:ilvl="6" w:tentative="0">
      <w:start w:val="1"/>
      <w:numFmt w:val="decimal"/>
      <w:lvlText w:val="%1.%2.%3.%4.%5.%6.%7."/>
      <w:lvlJc w:val="left"/>
      <w:pPr>
        <w:ind w:left="1440" w:hanging="1440"/>
      </w:pPr>
      <w:rPr>
        <w:rFonts w:hint="default"/>
        <w:b/>
      </w:rPr>
    </w:lvl>
    <w:lvl w:ilvl="7" w:tentative="0">
      <w:start w:val="1"/>
      <w:numFmt w:val="decimal"/>
      <w:lvlText w:val="%1.%2.%3.%4.%5.%6.%7.%8."/>
      <w:lvlJc w:val="left"/>
      <w:pPr>
        <w:ind w:left="1800" w:hanging="1800"/>
      </w:pPr>
      <w:rPr>
        <w:rFonts w:hint="default"/>
        <w:b/>
      </w:rPr>
    </w:lvl>
    <w:lvl w:ilvl="8" w:tentative="0">
      <w:start w:val="1"/>
      <w:numFmt w:val="decimal"/>
      <w:lvlText w:val="%1.%2.%3.%4.%5.%6.%7.%8.%9."/>
      <w:lvlJc w:val="left"/>
      <w:pPr>
        <w:ind w:left="1800" w:hanging="1800"/>
      </w:pPr>
      <w:rPr>
        <w:rFonts w:hint="default"/>
        <w:b/>
      </w:rPr>
    </w:lvl>
  </w:abstractNum>
  <w:abstractNum w:abstractNumId="6">
    <w:nsid w:val="446772AC"/>
    <w:multiLevelType w:val="multilevel"/>
    <w:tmpl w:val="446772AC"/>
    <w:lvl w:ilvl="0" w:tentative="0">
      <w:start w:val="2"/>
      <w:numFmt w:val="decimal"/>
      <w:lvlText w:val="%1."/>
      <w:lvlJc w:val="left"/>
      <w:pPr>
        <w:ind w:left="540" w:hanging="540"/>
      </w:pPr>
      <w:rPr>
        <w:rFonts w:hint="default" w:ascii="Book Antiqua" w:hAnsi="Book Antiqua" w:cs="Book Antiqua"/>
        <w:sz w:val="22"/>
        <w:szCs w:val="22"/>
      </w:rPr>
    </w:lvl>
    <w:lvl w:ilvl="1" w:tentative="0">
      <w:start w:val="2"/>
      <w:numFmt w:val="decimal"/>
      <w:lvlText w:val="%1.%2."/>
      <w:lvlJc w:val="left"/>
      <w:pPr>
        <w:ind w:left="720" w:hanging="720"/>
      </w:pPr>
      <w:rPr>
        <w:rFonts w:hint="default" w:ascii="Book Antiqua" w:hAnsi="Book Antiqua" w:cs="Book Antiqua"/>
        <w:b/>
        <w:bCs/>
        <w:sz w:val="22"/>
        <w:szCs w:val="22"/>
      </w:rPr>
    </w:lvl>
    <w:lvl w:ilvl="2" w:tentative="0">
      <w:start w:val="1"/>
      <w:numFmt w:val="decimal"/>
      <w:lvlText w:val="%1.%2.%3."/>
      <w:lvlJc w:val="left"/>
      <w:pPr>
        <w:ind w:left="720" w:hanging="720"/>
      </w:pPr>
      <w:rPr>
        <w:rFonts w:hint="default" w:ascii="Book Antiqua" w:hAnsi="Book Antiqua" w:cs="Book Antiqua"/>
        <w:b/>
        <w:bCs/>
        <w:sz w:val="22"/>
        <w:szCs w:val="22"/>
      </w:rPr>
    </w:lvl>
    <w:lvl w:ilvl="3" w:tentative="0">
      <w:start w:val="1"/>
      <w:numFmt w:val="decimal"/>
      <w:lvlText w:val="%1.%2.%3.%4."/>
      <w:lvlJc w:val="left"/>
      <w:pPr>
        <w:ind w:left="1080" w:hanging="1080"/>
      </w:pPr>
      <w:rPr>
        <w:rFonts w:hint="default"/>
        <w:b/>
        <w:bCs/>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7">
    <w:nsid w:val="49E8144A"/>
    <w:multiLevelType w:val="multilevel"/>
    <w:tmpl w:val="49E8144A"/>
    <w:lvl w:ilvl="0" w:tentative="0">
      <w:start w:val="4"/>
      <w:numFmt w:val="decimal"/>
      <w:lvlText w:val="%1."/>
      <w:lvlJc w:val="left"/>
      <w:pPr>
        <w:tabs>
          <w:tab w:val="left" w:pos="480"/>
        </w:tabs>
        <w:ind w:left="480" w:hanging="480"/>
      </w:pPr>
      <w:rPr>
        <w:rFonts w:hint="default" w:ascii="Book Antiqua" w:hAnsi="Book Antiqua" w:cs="Book Antiqua"/>
        <w:b/>
        <w:sz w:val="22"/>
        <w:szCs w:val="22"/>
      </w:rPr>
    </w:lvl>
    <w:lvl w:ilvl="1" w:tentative="0">
      <w:start w:val="1"/>
      <w:numFmt w:val="decimal"/>
      <w:lvlText w:val="%1.%2."/>
      <w:lvlJc w:val="left"/>
      <w:pPr>
        <w:tabs>
          <w:tab w:val="left" w:pos="720"/>
        </w:tabs>
        <w:ind w:left="720" w:hanging="720"/>
      </w:pPr>
      <w:rPr>
        <w:rFonts w:hint="default" w:ascii="Book Antiqua" w:hAnsi="Book Antiqua" w:cs="Book Antiqua"/>
        <w:b/>
        <w:bCs w:val="0"/>
        <w:i w:val="0"/>
        <w:iCs w:val="0"/>
        <w:color w:val="000000" w:themeColor="text1"/>
        <w:sz w:val="22"/>
        <w:szCs w:val="22"/>
      </w:rPr>
    </w:lvl>
    <w:lvl w:ilvl="2" w:tentative="0">
      <w:start w:val="1"/>
      <w:numFmt w:val="decimal"/>
      <w:lvlText w:val="%1.%2.%3."/>
      <w:lvlJc w:val="left"/>
      <w:pPr>
        <w:tabs>
          <w:tab w:val="left" w:pos="1288"/>
        </w:tabs>
        <w:ind w:left="1288" w:hanging="720"/>
      </w:pPr>
      <w:rPr>
        <w:rFonts w:hint="default" w:ascii="Book Antiqua" w:hAnsi="Book Antiqua" w:cs="Book Antiqua"/>
        <w:b/>
        <w:color w:val="000000" w:themeColor="text1"/>
        <w:sz w:val="22"/>
        <w:szCs w:val="22"/>
      </w:rPr>
    </w:lvl>
    <w:lvl w:ilvl="3" w:tentative="0">
      <w:start w:val="1"/>
      <w:numFmt w:val="decimal"/>
      <w:lvlText w:val="%1.%2.%3.%4."/>
      <w:lvlJc w:val="left"/>
      <w:pPr>
        <w:tabs>
          <w:tab w:val="left" w:pos="1080"/>
        </w:tabs>
        <w:ind w:left="1080" w:hanging="1080"/>
      </w:pPr>
      <w:rPr>
        <w:rFonts w:hint="default" w:ascii="Book Antiqua" w:hAnsi="Book Antiqua" w:cs="Book Antiqua"/>
        <w:b/>
        <w:bCs/>
        <w:sz w:val="22"/>
        <w:szCs w:val="22"/>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8">
    <w:nsid w:val="52EA29E0"/>
    <w:multiLevelType w:val="multilevel"/>
    <w:tmpl w:val="52EA29E0"/>
    <w:lvl w:ilvl="0" w:tentative="0">
      <w:start w:val="1"/>
      <w:numFmt w:val="lowerLetter"/>
      <w:lvlText w:val="%1)"/>
      <w:lvlJc w:val="left"/>
      <w:pPr>
        <w:tabs>
          <w:tab w:val="left" w:pos="720"/>
        </w:tabs>
        <w:ind w:left="720" w:hanging="360"/>
      </w:pPr>
      <w:rPr>
        <w:b/>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54CC624A"/>
    <w:multiLevelType w:val="multilevel"/>
    <w:tmpl w:val="54CC624A"/>
    <w:lvl w:ilvl="0" w:tentative="0">
      <w:start w:val="1"/>
      <w:numFmt w:val="decimal"/>
      <w:lvlText w:val="%1."/>
      <w:lvlJc w:val="left"/>
      <w:pPr>
        <w:ind w:left="720" w:hanging="360"/>
      </w:pPr>
      <w:rPr>
        <w:rFonts w:ascii="Times New Roman" w:hAnsi="Times New Roman" w:eastAsia="Times New Roman" w:cs="Times New Roma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6FE1A02"/>
    <w:multiLevelType w:val="multilevel"/>
    <w:tmpl w:val="56FE1A02"/>
    <w:lvl w:ilvl="0" w:tentative="0">
      <w:start w:val="6"/>
      <w:numFmt w:val="decimalZero"/>
      <w:pStyle w:val="53"/>
      <w:lvlText w:val=""/>
      <w:lvlJc w:val="left"/>
      <w:pPr>
        <w:tabs>
          <w:tab w:val="left" w:pos="360"/>
        </w:tabs>
        <w:ind w:left="360" w:hanging="360"/>
      </w:pPr>
      <w:rPr>
        <w:rFonts w:hint="default"/>
        <w:b/>
      </w:rPr>
    </w:lvl>
    <w:lvl w:ilvl="1" w:tentative="0">
      <w:start w:val="1"/>
      <w:numFmt w:val="decimal"/>
      <w:lvlText w:val="%1.%2."/>
      <w:lvlJc w:val="left"/>
      <w:pPr>
        <w:tabs>
          <w:tab w:val="left" w:pos="1146"/>
        </w:tabs>
        <w:ind w:left="1146" w:hanging="720"/>
      </w:pPr>
      <w:rPr>
        <w:rFonts w:hint="default"/>
      </w:rPr>
    </w:lvl>
    <w:lvl w:ilvl="2" w:tentative="0">
      <w:start w:val="1"/>
      <w:numFmt w:val="decimal"/>
      <w:lvlText w:val="%1.%2.%3."/>
      <w:lvlJc w:val="left"/>
      <w:pPr>
        <w:tabs>
          <w:tab w:val="left" w:pos="1572"/>
        </w:tabs>
        <w:ind w:left="1572" w:hanging="720"/>
      </w:pPr>
      <w:rPr>
        <w:rFonts w:hint="default"/>
      </w:rPr>
    </w:lvl>
    <w:lvl w:ilvl="3" w:tentative="0">
      <w:start w:val="1"/>
      <w:numFmt w:val="decimal"/>
      <w:lvlText w:val="%1.%2.%3.%4."/>
      <w:lvlJc w:val="left"/>
      <w:pPr>
        <w:tabs>
          <w:tab w:val="left" w:pos="2358"/>
        </w:tabs>
        <w:ind w:left="2358" w:hanging="1080"/>
      </w:pPr>
      <w:rPr>
        <w:rFonts w:hint="default"/>
      </w:rPr>
    </w:lvl>
    <w:lvl w:ilvl="4" w:tentative="0">
      <w:start w:val="1"/>
      <w:numFmt w:val="decimal"/>
      <w:lvlText w:val="%1.%2.%3.%4.%5."/>
      <w:lvlJc w:val="left"/>
      <w:pPr>
        <w:tabs>
          <w:tab w:val="left" w:pos="2784"/>
        </w:tabs>
        <w:ind w:left="2784" w:hanging="1080"/>
      </w:pPr>
      <w:rPr>
        <w:rFonts w:hint="default"/>
      </w:rPr>
    </w:lvl>
    <w:lvl w:ilvl="5" w:tentative="0">
      <w:start w:val="1"/>
      <w:numFmt w:val="decimal"/>
      <w:lvlText w:val="%1.%2.%3.%4.%5.%6."/>
      <w:lvlJc w:val="left"/>
      <w:pPr>
        <w:tabs>
          <w:tab w:val="left" w:pos="3570"/>
        </w:tabs>
        <w:ind w:left="3570" w:hanging="1440"/>
      </w:pPr>
      <w:rPr>
        <w:rFonts w:hint="default"/>
      </w:rPr>
    </w:lvl>
    <w:lvl w:ilvl="6" w:tentative="0">
      <w:start w:val="1"/>
      <w:numFmt w:val="decimal"/>
      <w:lvlText w:val="%1.%2.%3.%4.%5.%6.%7."/>
      <w:lvlJc w:val="left"/>
      <w:pPr>
        <w:tabs>
          <w:tab w:val="left" w:pos="3996"/>
        </w:tabs>
        <w:ind w:left="3996" w:hanging="1440"/>
      </w:pPr>
      <w:rPr>
        <w:rFonts w:hint="default"/>
      </w:rPr>
    </w:lvl>
    <w:lvl w:ilvl="7" w:tentative="0">
      <w:start w:val="1"/>
      <w:numFmt w:val="decimal"/>
      <w:lvlText w:val="%1.%2.%3.%4.%5.%6.%7.%8."/>
      <w:lvlJc w:val="left"/>
      <w:pPr>
        <w:tabs>
          <w:tab w:val="left" w:pos="4782"/>
        </w:tabs>
        <w:ind w:left="4782" w:hanging="1800"/>
      </w:pPr>
      <w:rPr>
        <w:rFonts w:hint="default"/>
      </w:rPr>
    </w:lvl>
    <w:lvl w:ilvl="8" w:tentative="0">
      <w:start w:val="1"/>
      <w:numFmt w:val="decimal"/>
      <w:lvlText w:val="%1.%2.%3.%4.%5.%6.%7.%8.%9."/>
      <w:lvlJc w:val="left"/>
      <w:pPr>
        <w:tabs>
          <w:tab w:val="left" w:pos="5568"/>
        </w:tabs>
        <w:ind w:left="5568" w:hanging="2160"/>
      </w:pPr>
      <w:rPr>
        <w:rFonts w:hint="default"/>
      </w:rPr>
    </w:lvl>
  </w:abstractNum>
  <w:abstractNum w:abstractNumId="11">
    <w:nsid w:val="5E7031E9"/>
    <w:multiLevelType w:val="multilevel"/>
    <w:tmpl w:val="5E7031E9"/>
    <w:lvl w:ilvl="0" w:tentative="0">
      <w:start w:val="3"/>
      <w:numFmt w:val="decimal"/>
      <w:lvlText w:val="%1"/>
      <w:lvlJc w:val="left"/>
      <w:pPr>
        <w:ind w:left="480" w:hanging="480"/>
      </w:pPr>
      <w:rPr>
        <w:rFonts w:hint="default"/>
      </w:rPr>
    </w:lvl>
    <w:lvl w:ilvl="1" w:tentative="0">
      <w:start w:val="1"/>
      <w:numFmt w:val="decimal"/>
      <w:lvlText w:val="%1.%2"/>
      <w:lvlJc w:val="left"/>
      <w:pPr>
        <w:ind w:left="480" w:hanging="480"/>
      </w:pPr>
      <w:rPr>
        <w:rFonts w:hint="default"/>
      </w:rPr>
    </w:lvl>
    <w:lvl w:ilvl="2" w:tentative="0">
      <w:start w:val="1"/>
      <w:numFmt w:val="decimal"/>
      <w:lvlText w:val="%1.%2.%3"/>
      <w:lvlJc w:val="left"/>
      <w:pPr>
        <w:ind w:left="720" w:hanging="720"/>
      </w:pPr>
      <w:rPr>
        <w:rFonts w:hint="default"/>
        <w:b/>
        <w:bCs w:val="0"/>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1800" w:hanging="1800"/>
      </w:pPr>
      <w:rPr>
        <w:rFonts w:hint="default"/>
      </w:rPr>
    </w:lvl>
  </w:abstractNum>
  <w:abstractNum w:abstractNumId="12">
    <w:nsid w:val="65B93912"/>
    <w:multiLevelType w:val="multilevel"/>
    <w:tmpl w:val="65B93912"/>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3">
    <w:nsid w:val="68107E80"/>
    <w:multiLevelType w:val="multilevel"/>
    <w:tmpl w:val="68107E80"/>
    <w:lvl w:ilvl="0" w:tentative="0">
      <w:start w:val="1"/>
      <w:numFmt w:val="decimal"/>
      <w:pStyle w:val="181"/>
      <w:lvlText w:val="%1."/>
      <w:lvlJc w:val="left"/>
      <w:pPr>
        <w:ind w:left="1353" w:hanging="360"/>
      </w:pPr>
      <w:rPr>
        <w:rFonts w:ascii="Times New Roman" w:hAnsi="Times New Roman" w:cs="Times New Roman"/>
        <w:b w:val="0"/>
        <w:bCs w:val="0"/>
        <w:i w:val="0"/>
        <w:iCs w:val="0"/>
        <w:caps w:val="0"/>
        <w:smallCaps w:val="0"/>
        <w:strike w:val="0"/>
        <w:dstrike w:val="0"/>
        <w:vanish w:val="0"/>
        <w:spacing w:val="0"/>
        <w:kern w:val="0"/>
        <w:position w:val="0"/>
        <w:u w:val="none"/>
        <w:vertAlign w:val="baseline"/>
      </w:rPr>
    </w:lvl>
    <w:lvl w:ilvl="1" w:tentative="0">
      <w:start w:val="1"/>
      <w:numFmt w:val="lowerLetter"/>
      <w:lvlText w:val="%2."/>
      <w:lvlJc w:val="left"/>
      <w:pPr>
        <w:ind w:left="1929" w:hanging="360"/>
      </w:pPr>
    </w:lvl>
    <w:lvl w:ilvl="2" w:tentative="0">
      <w:start w:val="1"/>
      <w:numFmt w:val="lowerRoman"/>
      <w:lvlText w:val="%3."/>
      <w:lvlJc w:val="right"/>
      <w:pPr>
        <w:ind w:left="2649" w:hanging="180"/>
      </w:pPr>
    </w:lvl>
    <w:lvl w:ilvl="3" w:tentative="0">
      <w:start w:val="1"/>
      <w:numFmt w:val="decimal"/>
      <w:lvlText w:val="%4."/>
      <w:lvlJc w:val="left"/>
      <w:pPr>
        <w:ind w:left="4046" w:hanging="360"/>
      </w:pPr>
    </w:lvl>
    <w:lvl w:ilvl="4" w:tentative="0">
      <w:start w:val="1"/>
      <w:numFmt w:val="lowerLetter"/>
      <w:lvlText w:val="%5."/>
      <w:lvlJc w:val="left"/>
      <w:pPr>
        <w:ind w:left="4089" w:hanging="360"/>
      </w:pPr>
    </w:lvl>
    <w:lvl w:ilvl="5" w:tentative="0">
      <w:start w:val="1"/>
      <w:numFmt w:val="lowerRoman"/>
      <w:lvlText w:val="%6."/>
      <w:lvlJc w:val="right"/>
      <w:pPr>
        <w:ind w:left="4809" w:hanging="180"/>
      </w:pPr>
    </w:lvl>
    <w:lvl w:ilvl="6" w:tentative="0">
      <w:start w:val="1"/>
      <w:numFmt w:val="decimal"/>
      <w:lvlText w:val="%7."/>
      <w:lvlJc w:val="left"/>
      <w:pPr>
        <w:ind w:left="5529" w:hanging="360"/>
      </w:pPr>
    </w:lvl>
    <w:lvl w:ilvl="7" w:tentative="0">
      <w:start w:val="1"/>
      <w:numFmt w:val="lowerLetter"/>
      <w:lvlText w:val="%8."/>
      <w:lvlJc w:val="left"/>
      <w:pPr>
        <w:ind w:left="6249" w:hanging="360"/>
      </w:pPr>
    </w:lvl>
    <w:lvl w:ilvl="8" w:tentative="0">
      <w:start w:val="1"/>
      <w:numFmt w:val="lowerRoman"/>
      <w:lvlText w:val="%9."/>
      <w:lvlJc w:val="right"/>
      <w:pPr>
        <w:ind w:left="6969" w:hanging="180"/>
      </w:pPr>
    </w:lvl>
  </w:abstractNum>
  <w:abstractNum w:abstractNumId="14">
    <w:nsid w:val="6D9A0A53"/>
    <w:multiLevelType w:val="multilevel"/>
    <w:tmpl w:val="6D9A0A53"/>
    <w:lvl w:ilvl="0" w:tentative="0">
      <w:start w:val="1"/>
      <w:numFmt w:val="lowerLetter"/>
      <w:lvlText w:val="%1)"/>
      <w:lvlJc w:val="left"/>
      <w:pPr>
        <w:tabs>
          <w:tab w:val="left" w:pos="1428"/>
        </w:tabs>
        <w:ind w:left="1428" w:hanging="360"/>
      </w:pPr>
      <w:rPr>
        <w:rFonts w:hint="default"/>
        <w:b/>
      </w:rPr>
    </w:lvl>
    <w:lvl w:ilvl="1" w:tentative="0">
      <w:start w:val="1"/>
      <w:numFmt w:val="lowerLetter"/>
      <w:lvlText w:val="%2."/>
      <w:lvlJc w:val="left"/>
      <w:pPr>
        <w:tabs>
          <w:tab w:val="left" w:pos="2148"/>
        </w:tabs>
        <w:ind w:left="2148" w:hanging="360"/>
      </w:pPr>
    </w:lvl>
    <w:lvl w:ilvl="2" w:tentative="0">
      <w:start w:val="1"/>
      <w:numFmt w:val="lowerRoman"/>
      <w:lvlText w:val="%3."/>
      <w:lvlJc w:val="right"/>
      <w:pPr>
        <w:tabs>
          <w:tab w:val="left" w:pos="2868"/>
        </w:tabs>
        <w:ind w:left="2868" w:hanging="180"/>
      </w:pPr>
    </w:lvl>
    <w:lvl w:ilvl="3" w:tentative="0">
      <w:start w:val="1"/>
      <w:numFmt w:val="decimal"/>
      <w:lvlText w:val="%4."/>
      <w:lvlJc w:val="left"/>
      <w:pPr>
        <w:tabs>
          <w:tab w:val="left" w:pos="3588"/>
        </w:tabs>
        <w:ind w:left="3588" w:hanging="360"/>
      </w:pPr>
    </w:lvl>
    <w:lvl w:ilvl="4" w:tentative="0">
      <w:start w:val="1"/>
      <w:numFmt w:val="lowerLetter"/>
      <w:lvlText w:val="%5."/>
      <w:lvlJc w:val="left"/>
      <w:pPr>
        <w:tabs>
          <w:tab w:val="left" w:pos="4308"/>
        </w:tabs>
        <w:ind w:left="4308" w:hanging="360"/>
      </w:pPr>
    </w:lvl>
    <w:lvl w:ilvl="5" w:tentative="0">
      <w:start w:val="1"/>
      <w:numFmt w:val="lowerRoman"/>
      <w:lvlText w:val="%6."/>
      <w:lvlJc w:val="right"/>
      <w:pPr>
        <w:tabs>
          <w:tab w:val="left" w:pos="5028"/>
        </w:tabs>
        <w:ind w:left="5028" w:hanging="180"/>
      </w:pPr>
    </w:lvl>
    <w:lvl w:ilvl="6" w:tentative="0">
      <w:start w:val="1"/>
      <w:numFmt w:val="decimal"/>
      <w:lvlText w:val="%7."/>
      <w:lvlJc w:val="left"/>
      <w:pPr>
        <w:tabs>
          <w:tab w:val="left" w:pos="5748"/>
        </w:tabs>
        <w:ind w:left="5748" w:hanging="360"/>
      </w:pPr>
    </w:lvl>
    <w:lvl w:ilvl="7" w:tentative="0">
      <w:start w:val="1"/>
      <w:numFmt w:val="lowerLetter"/>
      <w:lvlText w:val="%8."/>
      <w:lvlJc w:val="left"/>
      <w:pPr>
        <w:tabs>
          <w:tab w:val="left" w:pos="6468"/>
        </w:tabs>
        <w:ind w:left="6468" w:hanging="360"/>
      </w:pPr>
    </w:lvl>
    <w:lvl w:ilvl="8" w:tentative="0">
      <w:start w:val="1"/>
      <w:numFmt w:val="lowerRoman"/>
      <w:lvlText w:val="%9."/>
      <w:lvlJc w:val="right"/>
      <w:pPr>
        <w:tabs>
          <w:tab w:val="left" w:pos="7188"/>
        </w:tabs>
        <w:ind w:left="7188" w:hanging="180"/>
      </w:pPr>
    </w:lvl>
  </w:abstractNum>
  <w:abstractNum w:abstractNumId="15">
    <w:nsid w:val="7B2D2D80"/>
    <w:multiLevelType w:val="multilevel"/>
    <w:tmpl w:val="7B2D2D80"/>
    <w:lvl w:ilvl="0" w:tentative="0">
      <w:start w:val="4"/>
      <w:numFmt w:val="decimal"/>
      <w:lvlText w:val="%1"/>
      <w:lvlJc w:val="left"/>
      <w:pPr>
        <w:ind w:left="480" w:hanging="480"/>
      </w:pPr>
      <w:rPr>
        <w:rFonts w:hint="default"/>
      </w:rPr>
    </w:lvl>
    <w:lvl w:ilvl="1" w:tentative="0">
      <w:start w:val="2"/>
      <w:numFmt w:val="decimal"/>
      <w:lvlText w:val="%1.%2"/>
      <w:lvlJc w:val="left"/>
      <w:pPr>
        <w:ind w:left="840" w:hanging="480"/>
      </w:pPr>
      <w:rPr>
        <w:rFonts w:hint="default"/>
      </w:rPr>
    </w:lvl>
    <w:lvl w:ilvl="2" w:tentative="0">
      <w:start w:val="1"/>
      <w:numFmt w:val="decimal"/>
      <w:lvlText w:val="%1.%2.%3"/>
      <w:lvlJc w:val="left"/>
      <w:pPr>
        <w:ind w:left="1440" w:hanging="720"/>
      </w:pPr>
      <w:rPr>
        <w:rFonts w:hint="default"/>
        <w:b/>
        <w:bCs w:val="0"/>
      </w:rPr>
    </w:lvl>
    <w:lvl w:ilvl="3" w:tentative="0">
      <w:start w:val="1"/>
      <w:numFmt w:val="decimal"/>
      <w:lvlText w:val="%1.%2.%3.%4"/>
      <w:lvlJc w:val="left"/>
      <w:pPr>
        <w:ind w:left="1800" w:hanging="720"/>
      </w:pPr>
      <w:rPr>
        <w:rFonts w:hint="default"/>
      </w:rPr>
    </w:lvl>
    <w:lvl w:ilvl="4" w:tentative="0">
      <w:start w:val="1"/>
      <w:numFmt w:val="decimal"/>
      <w:lvlText w:val="%1.%2.%3.%4.%5"/>
      <w:lvlJc w:val="left"/>
      <w:pPr>
        <w:ind w:left="2520" w:hanging="1080"/>
      </w:pPr>
      <w:rPr>
        <w:rFonts w:hint="default"/>
      </w:rPr>
    </w:lvl>
    <w:lvl w:ilvl="5" w:tentative="0">
      <w:start w:val="1"/>
      <w:numFmt w:val="decimal"/>
      <w:lvlText w:val="%1.%2.%3.%4.%5.%6"/>
      <w:lvlJc w:val="left"/>
      <w:pPr>
        <w:ind w:left="2880" w:hanging="1080"/>
      </w:pPr>
      <w:rPr>
        <w:rFonts w:hint="default"/>
      </w:rPr>
    </w:lvl>
    <w:lvl w:ilvl="6" w:tentative="0">
      <w:start w:val="1"/>
      <w:numFmt w:val="decimal"/>
      <w:lvlText w:val="%1.%2.%3.%4.%5.%6.%7"/>
      <w:lvlJc w:val="left"/>
      <w:pPr>
        <w:ind w:left="3600" w:hanging="1440"/>
      </w:pPr>
      <w:rPr>
        <w:rFonts w:hint="default"/>
      </w:rPr>
    </w:lvl>
    <w:lvl w:ilvl="7" w:tentative="0">
      <w:start w:val="1"/>
      <w:numFmt w:val="decimal"/>
      <w:lvlText w:val="%1.%2.%3.%4.%5.%6.%7.%8"/>
      <w:lvlJc w:val="left"/>
      <w:pPr>
        <w:ind w:left="4320" w:hanging="1800"/>
      </w:pPr>
      <w:rPr>
        <w:rFonts w:hint="default"/>
      </w:rPr>
    </w:lvl>
    <w:lvl w:ilvl="8" w:tentative="0">
      <w:start w:val="1"/>
      <w:numFmt w:val="decimal"/>
      <w:lvlText w:val="%1.%2.%3.%4.%5.%6.%7.%8.%9"/>
      <w:lvlJc w:val="left"/>
      <w:pPr>
        <w:ind w:left="4680" w:hanging="1800"/>
      </w:pPr>
      <w:rPr>
        <w:rFonts w:hint="default"/>
      </w:rPr>
    </w:lvl>
  </w:abstractNum>
  <w:abstractNum w:abstractNumId="16">
    <w:nsid w:val="7C4F42F8"/>
    <w:multiLevelType w:val="multilevel"/>
    <w:tmpl w:val="7C4F42F8"/>
    <w:lvl w:ilvl="0" w:tentative="0">
      <w:start w:val="1"/>
      <w:numFmt w:val="lowerLetter"/>
      <w:lvlText w:val="%1) "/>
      <w:legacy w:legacy="1" w:legacySpace="0" w:legacyIndent="283"/>
      <w:lvlJc w:val="left"/>
      <w:pPr>
        <w:ind w:left="283" w:hanging="283"/>
      </w:pPr>
      <w:rPr>
        <w:rFonts w:hint="default" w:ascii="Arial" w:hAnsi="Arial" w:cs="Arial"/>
        <w:b w:val="0"/>
        <w:i w:val="0"/>
        <w:sz w:val="16"/>
        <w:szCs w:val="16"/>
        <w:u w:val="none"/>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7CE810FC"/>
    <w:multiLevelType w:val="multilevel"/>
    <w:tmpl w:val="7CE810FC"/>
    <w:lvl w:ilvl="0" w:tentative="0">
      <w:start w:val="1"/>
      <w:numFmt w:val="lowerLetter"/>
      <w:lvlText w:val="%1)"/>
      <w:lvlJc w:val="left"/>
      <w:pPr>
        <w:ind w:left="720" w:hanging="360"/>
      </w:pPr>
      <w:rPr>
        <w:rFonts w:hint="default"/>
        <w:color w:val="000000" w:themeColor="text1"/>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10"/>
  </w:num>
  <w:num w:numId="3">
    <w:abstractNumId w:val="13"/>
  </w:num>
  <w:num w:numId="4">
    <w:abstractNumId w:val="2"/>
  </w:num>
  <w:num w:numId="5">
    <w:abstractNumId w:val="5"/>
  </w:num>
  <w:num w:numId="6">
    <w:abstractNumId w:val="3"/>
  </w:num>
  <w:num w:numId="7">
    <w:abstractNumId w:val="6"/>
  </w:num>
  <w:num w:numId="8">
    <w:abstractNumId w:val="11"/>
  </w:num>
  <w:num w:numId="9">
    <w:abstractNumId w:val="7"/>
  </w:num>
  <w:num w:numId="10">
    <w:abstractNumId w:val="15"/>
  </w:num>
  <w:num w:numId="11">
    <w:abstractNumId w:val="17"/>
  </w:num>
  <w:num w:numId="12">
    <w:abstractNumId w:val="4"/>
  </w:num>
  <w:num w:numId="13">
    <w:abstractNumId w:val="14"/>
  </w:num>
  <w:num w:numId="14">
    <w:abstractNumId w:val="1"/>
  </w:num>
  <w:num w:numId="15">
    <w:abstractNumId w:val="9"/>
  </w:num>
  <w:num w:numId="16">
    <w:abstractNumId w:val="16"/>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9"/>
  <w:hyphenationZone w:val="425"/>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doNotExpandShiftReturn/>
    <w:doNotWrapTextWithPunct/>
    <w:doNotUseEastAsianBreakRules/>
    <w:doNotUseIndentAsNumberingTabStop/>
    <w:useAltKinsokuLineBreakRules/>
    <w:compatSetting w:name="compatibilityMode" w:uri="http://schemas.microsoft.com/office/word" w:val="12"/>
  </w:compat>
  <w:rsids>
    <w:rsidRoot w:val="00172A27"/>
    <w:rsid w:val="0000112A"/>
    <w:rsid w:val="000019FB"/>
    <w:rsid w:val="00001B20"/>
    <w:rsid w:val="0000284A"/>
    <w:rsid w:val="00002871"/>
    <w:rsid w:val="00003401"/>
    <w:rsid w:val="00003803"/>
    <w:rsid w:val="0000456C"/>
    <w:rsid w:val="00004798"/>
    <w:rsid w:val="00004B92"/>
    <w:rsid w:val="00005668"/>
    <w:rsid w:val="00006331"/>
    <w:rsid w:val="00006540"/>
    <w:rsid w:val="00006BD0"/>
    <w:rsid w:val="000076EF"/>
    <w:rsid w:val="00011176"/>
    <w:rsid w:val="0001231B"/>
    <w:rsid w:val="000124DA"/>
    <w:rsid w:val="0001295B"/>
    <w:rsid w:val="00013396"/>
    <w:rsid w:val="00013769"/>
    <w:rsid w:val="00013AE8"/>
    <w:rsid w:val="0001441A"/>
    <w:rsid w:val="00014449"/>
    <w:rsid w:val="000151E8"/>
    <w:rsid w:val="0001524F"/>
    <w:rsid w:val="00015750"/>
    <w:rsid w:val="00015F77"/>
    <w:rsid w:val="00016AF2"/>
    <w:rsid w:val="00016B14"/>
    <w:rsid w:val="0002038C"/>
    <w:rsid w:val="0002064C"/>
    <w:rsid w:val="000218ED"/>
    <w:rsid w:val="00022CFA"/>
    <w:rsid w:val="00022E73"/>
    <w:rsid w:val="00023060"/>
    <w:rsid w:val="0002362D"/>
    <w:rsid w:val="000239B3"/>
    <w:rsid w:val="00023E00"/>
    <w:rsid w:val="00023F81"/>
    <w:rsid w:val="000244CB"/>
    <w:rsid w:val="00024A58"/>
    <w:rsid w:val="0002519C"/>
    <w:rsid w:val="0002644B"/>
    <w:rsid w:val="0002661A"/>
    <w:rsid w:val="0002708B"/>
    <w:rsid w:val="000278C4"/>
    <w:rsid w:val="00030B4B"/>
    <w:rsid w:val="0003108C"/>
    <w:rsid w:val="000320F1"/>
    <w:rsid w:val="00032364"/>
    <w:rsid w:val="00032777"/>
    <w:rsid w:val="00032EA2"/>
    <w:rsid w:val="00032F0E"/>
    <w:rsid w:val="000332F1"/>
    <w:rsid w:val="00033AE6"/>
    <w:rsid w:val="00033C05"/>
    <w:rsid w:val="00033F28"/>
    <w:rsid w:val="00034BB6"/>
    <w:rsid w:val="00034C20"/>
    <w:rsid w:val="0003506F"/>
    <w:rsid w:val="00035A6C"/>
    <w:rsid w:val="00035B08"/>
    <w:rsid w:val="0003629D"/>
    <w:rsid w:val="00036E17"/>
    <w:rsid w:val="00036EB6"/>
    <w:rsid w:val="00037905"/>
    <w:rsid w:val="00037B49"/>
    <w:rsid w:val="000401AC"/>
    <w:rsid w:val="0004061B"/>
    <w:rsid w:val="0004115B"/>
    <w:rsid w:val="0004182F"/>
    <w:rsid w:val="00041A36"/>
    <w:rsid w:val="00041D19"/>
    <w:rsid w:val="00042033"/>
    <w:rsid w:val="00042476"/>
    <w:rsid w:val="00043DBF"/>
    <w:rsid w:val="00043ECA"/>
    <w:rsid w:val="00045793"/>
    <w:rsid w:val="00046224"/>
    <w:rsid w:val="000478A7"/>
    <w:rsid w:val="00047920"/>
    <w:rsid w:val="0005003B"/>
    <w:rsid w:val="000509CB"/>
    <w:rsid w:val="000510DC"/>
    <w:rsid w:val="00052A22"/>
    <w:rsid w:val="0005365A"/>
    <w:rsid w:val="000537A7"/>
    <w:rsid w:val="000537BA"/>
    <w:rsid w:val="0005456E"/>
    <w:rsid w:val="0005464E"/>
    <w:rsid w:val="0005476F"/>
    <w:rsid w:val="00054AFE"/>
    <w:rsid w:val="000551E8"/>
    <w:rsid w:val="00055DCF"/>
    <w:rsid w:val="00056904"/>
    <w:rsid w:val="000601A4"/>
    <w:rsid w:val="00060E2C"/>
    <w:rsid w:val="00060EC6"/>
    <w:rsid w:val="00062AE7"/>
    <w:rsid w:val="00063876"/>
    <w:rsid w:val="00063884"/>
    <w:rsid w:val="0006401C"/>
    <w:rsid w:val="00064A4A"/>
    <w:rsid w:val="000657B9"/>
    <w:rsid w:val="00065D2D"/>
    <w:rsid w:val="000672E5"/>
    <w:rsid w:val="000677FA"/>
    <w:rsid w:val="00067F6C"/>
    <w:rsid w:val="00067F95"/>
    <w:rsid w:val="000709B2"/>
    <w:rsid w:val="00070F3C"/>
    <w:rsid w:val="0007111D"/>
    <w:rsid w:val="000717D1"/>
    <w:rsid w:val="00072626"/>
    <w:rsid w:val="00072C0D"/>
    <w:rsid w:val="00072D94"/>
    <w:rsid w:val="00072E6B"/>
    <w:rsid w:val="00073542"/>
    <w:rsid w:val="00073896"/>
    <w:rsid w:val="00073A40"/>
    <w:rsid w:val="000740ED"/>
    <w:rsid w:val="00074B78"/>
    <w:rsid w:val="00074CD2"/>
    <w:rsid w:val="000752B7"/>
    <w:rsid w:val="0007554C"/>
    <w:rsid w:val="000755AF"/>
    <w:rsid w:val="00075ADB"/>
    <w:rsid w:val="000769EA"/>
    <w:rsid w:val="00076EED"/>
    <w:rsid w:val="00076FA8"/>
    <w:rsid w:val="0008027B"/>
    <w:rsid w:val="00080698"/>
    <w:rsid w:val="00081308"/>
    <w:rsid w:val="000818AF"/>
    <w:rsid w:val="00081B9B"/>
    <w:rsid w:val="00081C47"/>
    <w:rsid w:val="00081DB1"/>
    <w:rsid w:val="000824DD"/>
    <w:rsid w:val="00082633"/>
    <w:rsid w:val="000826BD"/>
    <w:rsid w:val="00082D2B"/>
    <w:rsid w:val="00082E46"/>
    <w:rsid w:val="000845B8"/>
    <w:rsid w:val="00084B58"/>
    <w:rsid w:val="00084C06"/>
    <w:rsid w:val="00085063"/>
    <w:rsid w:val="000853B6"/>
    <w:rsid w:val="00086655"/>
    <w:rsid w:val="00086869"/>
    <w:rsid w:val="000869CD"/>
    <w:rsid w:val="00086CCA"/>
    <w:rsid w:val="00087700"/>
    <w:rsid w:val="0009056C"/>
    <w:rsid w:val="00090A71"/>
    <w:rsid w:val="00091A01"/>
    <w:rsid w:val="0009217B"/>
    <w:rsid w:val="000927D8"/>
    <w:rsid w:val="00094E79"/>
    <w:rsid w:val="00095C7D"/>
    <w:rsid w:val="00095D54"/>
    <w:rsid w:val="00095D7D"/>
    <w:rsid w:val="00096C8E"/>
    <w:rsid w:val="00096EB2"/>
    <w:rsid w:val="00097DA6"/>
    <w:rsid w:val="000A03AB"/>
    <w:rsid w:val="000A188D"/>
    <w:rsid w:val="000A1EDD"/>
    <w:rsid w:val="000A261E"/>
    <w:rsid w:val="000A342D"/>
    <w:rsid w:val="000A34F3"/>
    <w:rsid w:val="000A42DB"/>
    <w:rsid w:val="000A4C9E"/>
    <w:rsid w:val="000A5E0B"/>
    <w:rsid w:val="000A6415"/>
    <w:rsid w:val="000A6F9F"/>
    <w:rsid w:val="000A7AFA"/>
    <w:rsid w:val="000B0324"/>
    <w:rsid w:val="000B07B4"/>
    <w:rsid w:val="000B0CBB"/>
    <w:rsid w:val="000B0D3E"/>
    <w:rsid w:val="000B1213"/>
    <w:rsid w:val="000B12B4"/>
    <w:rsid w:val="000B3E44"/>
    <w:rsid w:val="000B47B0"/>
    <w:rsid w:val="000B544F"/>
    <w:rsid w:val="000B5FE9"/>
    <w:rsid w:val="000B74F1"/>
    <w:rsid w:val="000B7A9F"/>
    <w:rsid w:val="000C0499"/>
    <w:rsid w:val="000C1968"/>
    <w:rsid w:val="000C1C30"/>
    <w:rsid w:val="000C1C53"/>
    <w:rsid w:val="000C2256"/>
    <w:rsid w:val="000C2680"/>
    <w:rsid w:val="000C34FE"/>
    <w:rsid w:val="000C4E79"/>
    <w:rsid w:val="000C4F6D"/>
    <w:rsid w:val="000C54B4"/>
    <w:rsid w:val="000C585C"/>
    <w:rsid w:val="000C5B15"/>
    <w:rsid w:val="000C5E2D"/>
    <w:rsid w:val="000C63BC"/>
    <w:rsid w:val="000C67A1"/>
    <w:rsid w:val="000C6ABC"/>
    <w:rsid w:val="000C77C5"/>
    <w:rsid w:val="000C7A79"/>
    <w:rsid w:val="000C7B28"/>
    <w:rsid w:val="000C7E4E"/>
    <w:rsid w:val="000D017D"/>
    <w:rsid w:val="000D0D5F"/>
    <w:rsid w:val="000D115F"/>
    <w:rsid w:val="000D122A"/>
    <w:rsid w:val="000D1E97"/>
    <w:rsid w:val="000D2371"/>
    <w:rsid w:val="000D3E0F"/>
    <w:rsid w:val="000D48F6"/>
    <w:rsid w:val="000D4DF3"/>
    <w:rsid w:val="000D4F9F"/>
    <w:rsid w:val="000D5A36"/>
    <w:rsid w:val="000D5EAB"/>
    <w:rsid w:val="000D6554"/>
    <w:rsid w:val="000D72EB"/>
    <w:rsid w:val="000D7CD1"/>
    <w:rsid w:val="000E02CF"/>
    <w:rsid w:val="000E0634"/>
    <w:rsid w:val="000E22CF"/>
    <w:rsid w:val="000E27B8"/>
    <w:rsid w:val="000E4238"/>
    <w:rsid w:val="000E46EA"/>
    <w:rsid w:val="000E52E4"/>
    <w:rsid w:val="000E54A9"/>
    <w:rsid w:val="000E5B67"/>
    <w:rsid w:val="000E5ECD"/>
    <w:rsid w:val="000E70A0"/>
    <w:rsid w:val="000E7230"/>
    <w:rsid w:val="000F07A8"/>
    <w:rsid w:val="000F0B29"/>
    <w:rsid w:val="000F13C5"/>
    <w:rsid w:val="000F2874"/>
    <w:rsid w:val="000F2AA6"/>
    <w:rsid w:val="000F2DE6"/>
    <w:rsid w:val="000F302B"/>
    <w:rsid w:val="000F3914"/>
    <w:rsid w:val="000F3AC6"/>
    <w:rsid w:val="000F3B5A"/>
    <w:rsid w:val="000F4E20"/>
    <w:rsid w:val="000F5023"/>
    <w:rsid w:val="000F544B"/>
    <w:rsid w:val="000F550E"/>
    <w:rsid w:val="000F733C"/>
    <w:rsid w:val="000F7629"/>
    <w:rsid w:val="000F78E3"/>
    <w:rsid w:val="00100318"/>
    <w:rsid w:val="001004E3"/>
    <w:rsid w:val="001005F5"/>
    <w:rsid w:val="00100A53"/>
    <w:rsid w:val="001011B8"/>
    <w:rsid w:val="00101757"/>
    <w:rsid w:val="00101B6E"/>
    <w:rsid w:val="0010244E"/>
    <w:rsid w:val="00102900"/>
    <w:rsid w:val="00102AF0"/>
    <w:rsid w:val="001031C3"/>
    <w:rsid w:val="00103CD2"/>
    <w:rsid w:val="00103E62"/>
    <w:rsid w:val="0010423C"/>
    <w:rsid w:val="00105075"/>
    <w:rsid w:val="00106436"/>
    <w:rsid w:val="00106797"/>
    <w:rsid w:val="00106E99"/>
    <w:rsid w:val="0010744A"/>
    <w:rsid w:val="00107745"/>
    <w:rsid w:val="00107FED"/>
    <w:rsid w:val="001109B9"/>
    <w:rsid w:val="001114B6"/>
    <w:rsid w:val="00111746"/>
    <w:rsid w:val="00111A0C"/>
    <w:rsid w:val="00113801"/>
    <w:rsid w:val="00113938"/>
    <w:rsid w:val="00113AE3"/>
    <w:rsid w:val="00114734"/>
    <w:rsid w:val="00114DD8"/>
    <w:rsid w:val="00115040"/>
    <w:rsid w:val="00115355"/>
    <w:rsid w:val="00115404"/>
    <w:rsid w:val="00115516"/>
    <w:rsid w:val="001156F8"/>
    <w:rsid w:val="0011579A"/>
    <w:rsid w:val="00116203"/>
    <w:rsid w:val="00117B84"/>
    <w:rsid w:val="00117C3F"/>
    <w:rsid w:val="00117EC8"/>
    <w:rsid w:val="00120A16"/>
    <w:rsid w:val="00120BD2"/>
    <w:rsid w:val="00120FD1"/>
    <w:rsid w:val="00121C55"/>
    <w:rsid w:val="001249C9"/>
    <w:rsid w:val="00124B93"/>
    <w:rsid w:val="001255EC"/>
    <w:rsid w:val="00126525"/>
    <w:rsid w:val="00126701"/>
    <w:rsid w:val="0012677C"/>
    <w:rsid w:val="00126FC8"/>
    <w:rsid w:val="00127321"/>
    <w:rsid w:val="001320FE"/>
    <w:rsid w:val="001327CB"/>
    <w:rsid w:val="00132C87"/>
    <w:rsid w:val="00133204"/>
    <w:rsid w:val="00133942"/>
    <w:rsid w:val="00134D7C"/>
    <w:rsid w:val="00135683"/>
    <w:rsid w:val="00135A4A"/>
    <w:rsid w:val="0013748E"/>
    <w:rsid w:val="001409BB"/>
    <w:rsid w:val="001411F7"/>
    <w:rsid w:val="00141451"/>
    <w:rsid w:val="0014168B"/>
    <w:rsid w:val="00141E19"/>
    <w:rsid w:val="001424DE"/>
    <w:rsid w:val="00142E64"/>
    <w:rsid w:val="001442BC"/>
    <w:rsid w:val="001446FD"/>
    <w:rsid w:val="00144A16"/>
    <w:rsid w:val="0014591A"/>
    <w:rsid w:val="001500F1"/>
    <w:rsid w:val="00150197"/>
    <w:rsid w:val="001506D8"/>
    <w:rsid w:val="00150876"/>
    <w:rsid w:val="00150F24"/>
    <w:rsid w:val="00151445"/>
    <w:rsid w:val="00151EEC"/>
    <w:rsid w:val="0015232B"/>
    <w:rsid w:val="00152593"/>
    <w:rsid w:val="0015346B"/>
    <w:rsid w:val="0015365B"/>
    <w:rsid w:val="00154C9A"/>
    <w:rsid w:val="0015786E"/>
    <w:rsid w:val="001579F3"/>
    <w:rsid w:val="00157BF5"/>
    <w:rsid w:val="0016029F"/>
    <w:rsid w:val="001604F2"/>
    <w:rsid w:val="0016076C"/>
    <w:rsid w:val="001611AF"/>
    <w:rsid w:val="0016348A"/>
    <w:rsid w:val="001639F8"/>
    <w:rsid w:val="00164328"/>
    <w:rsid w:val="001645FE"/>
    <w:rsid w:val="00164F00"/>
    <w:rsid w:val="00165C21"/>
    <w:rsid w:val="00166CD2"/>
    <w:rsid w:val="00167103"/>
    <w:rsid w:val="0016765C"/>
    <w:rsid w:val="00167C09"/>
    <w:rsid w:val="0017085D"/>
    <w:rsid w:val="00170E34"/>
    <w:rsid w:val="001714AD"/>
    <w:rsid w:val="0017179B"/>
    <w:rsid w:val="00171FDB"/>
    <w:rsid w:val="0017230B"/>
    <w:rsid w:val="00172A27"/>
    <w:rsid w:val="001737B5"/>
    <w:rsid w:val="001739BA"/>
    <w:rsid w:val="00173DCE"/>
    <w:rsid w:val="00174FEE"/>
    <w:rsid w:val="0017561E"/>
    <w:rsid w:val="00176D83"/>
    <w:rsid w:val="00176DB7"/>
    <w:rsid w:val="00177461"/>
    <w:rsid w:val="00177507"/>
    <w:rsid w:val="0018011F"/>
    <w:rsid w:val="00180264"/>
    <w:rsid w:val="001810A4"/>
    <w:rsid w:val="001811A5"/>
    <w:rsid w:val="001812DD"/>
    <w:rsid w:val="00181BB1"/>
    <w:rsid w:val="00182016"/>
    <w:rsid w:val="001826D9"/>
    <w:rsid w:val="00183A82"/>
    <w:rsid w:val="0018430E"/>
    <w:rsid w:val="001857C2"/>
    <w:rsid w:val="00185929"/>
    <w:rsid w:val="00186745"/>
    <w:rsid w:val="001878E0"/>
    <w:rsid w:val="00187AD7"/>
    <w:rsid w:val="00187C9A"/>
    <w:rsid w:val="00190C87"/>
    <w:rsid w:val="001919F6"/>
    <w:rsid w:val="00191D27"/>
    <w:rsid w:val="001927A2"/>
    <w:rsid w:val="0019280D"/>
    <w:rsid w:val="00192BC9"/>
    <w:rsid w:val="00192D74"/>
    <w:rsid w:val="00193406"/>
    <w:rsid w:val="00194696"/>
    <w:rsid w:val="00194F46"/>
    <w:rsid w:val="001960FD"/>
    <w:rsid w:val="001964A2"/>
    <w:rsid w:val="001964AA"/>
    <w:rsid w:val="00196564"/>
    <w:rsid w:val="00196A83"/>
    <w:rsid w:val="00196AFF"/>
    <w:rsid w:val="00196FD2"/>
    <w:rsid w:val="00197033"/>
    <w:rsid w:val="001976ED"/>
    <w:rsid w:val="001A03CE"/>
    <w:rsid w:val="001A0BD9"/>
    <w:rsid w:val="001A0DD1"/>
    <w:rsid w:val="001A1333"/>
    <w:rsid w:val="001A139A"/>
    <w:rsid w:val="001A1866"/>
    <w:rsid w:val="001A1C77"/>
    <w:rsid w:val="001A29C5"/>
    <w:rsid w:val="001A2FBD"/>
    <w:rsid w:val="001A3013"/>
    <w:rsid w:val="001A3EBE"/>
    <w:rsid w:val="001A3F4A"/>
    <w:rsid w:val="001A4605"/>
    <w:rsid w:val="001A4740"/>
    <w:rsid w:val="001A567B"/>
    <w:rsid w:val="001A5F04"/>
    <w:rsid w:val="001A61BB"/>
    <w:rsid w:val="001A69F1"/>
    <w:rsid w:val="001A6CFF"/>
    <w:rsid w:val="001A7698"/>
    <w:rsid w:val="001A7AAF"/>
    <w:rsid w:val="001B0598"/>
    <w:rsid w:val="001B2A39"/>
    <w:rsid w:val="001B2E44"/>
    <w:rsid w:val="001B341A"/>
    <w:rsid w:val="001B47C9"/>
    <w:rsid w:val="001B5403"/>
    <w:rsid w:val="001B5F01"/>
    <w:rsid w:val="001B63F9"/>
    <w:rsid w:val="001B71E8"/>
    <w:rsid w:val="001B7277"/>
    <w:rsid w:val="001B7BCB"/>
    <w:rsid w:val="001B7EE2"/>
    <w:rsid w:val="001C0421"/>
    <w:rsid w:val="001C06A6"/>
    <w:rsid w:val="001C1052"/>
    <w:rsid w:val="001C1C2F"/>
    <w:rsid w:val="001C280D"/>
    <w:rsid w:val="001C2E0A"/>
    <w:rsid w:val="001C3232"/>
    <w:rsid w:val="001C381D"/>
    <w:rsid w:val="001C3BDC"/>
    <w:rsid w:val="001C4254"/>
    <w:rsid w:val="001C46A4"/>
    <w:rsid w:val="001C47F6"/>
    <w:rsid w:val="001C5A95"/>
    <w:rsid w:val="001C5B69"/>
    <w:rsid w:val="001C5E3A"/>
    <w:rsid w:val="001C623C"/>
    <w:rsid w:val="001C6B99"/>
    <w:rsid w:val="001C72A9"/>
    <w:rsid w:val="001C7D29"/>
    <w:rsid w:val="001D0016"/>
    <w:rsid w:val="001D043C"/>
    <w:rsid w:val="001D04F6"/>
    <w:rsid w:val="001D0B04"/>
    <w:rsid w:val="001D1F1B"/>
    <w:rsid w:val="001D264F"/>
    <w:rsid w:val="001D2FB7"/>
    <w:rsid w:val="001D30C6"/>
    <w:rsid w:val="001D3172"/>
    <w:rsid w:val="001D33E4"/>
    <w:rsid w:val="001D33F1"/>
    <w:rsid w:val="001D441D"/>
    <w:rsid w:val="001D44E4"/>
    <w:rsid w:val="001D4D3E"/>
    <w:rsid w:val="001D5E2C"/>
    <w:rsid w:val="001D6DEF"/>
    <w:rsid w:val="001E0AB3"/>
    <w:rsid w:val="001E219D"/>
    <w:rsid w:val="001E23F2"/>
    <w:rsid w:val="001E2610"/>
    <w:rsid w:val="001E2662"/>
    <w:rsid w:val="001E3226"/>
    <w:rsid w:val="001E3CFC"/>
    <w:rsid w:val="001E56D2"/>
    <w:rsid w:val="001E5FF0"/>
    <w:rsid w:val="001E776F"/>
    <w:rsid w:val="001E7CAB"/>
    <w:rsid w:val="001F00FF"/>
    <w:rsid w:val="001F036B"/>
    <w:rsid w:val="001F0DFC"/>
    <w:rsid w:val="001F2771"/>
    <w:rsid w:val="001F2AD6"/>
    <w:rsid w:val="001F3B5F"/>
    <w:rsid w:val="001F412A"/>
    <w:rsid w:val="001F4E4B"/>
    <w:rsid w:val="001F5159"/>
    <w:rsid w:val="001F5A4F"/>
    <w:rsid w:val="001F6EC3"/>
    <w:rsid w:val="001F747D"/>
    <w:rsid w:val="001F7FAB"/>
    <w:rsid w:val="0020032B"/>
    <w:rsid w:val="002003F8"/>
    <w:rsid w:val="00200A63"/>
    <w:rsid w:val="002012E7"/>
    <w:rsid w:val="002015D2"/>
    <w:rsid w:val="00201CFB"/>
    <w:rsid w:val="00202230"/>
    <w:rsid w:val="002030A1"/>
    <w:rsid w:val="002032E0"/>
    <w:rsid w:val="00204028"/>
    <w:rsid w:val="00205F75"/>
    <w:rsid w:val="002078EE"/>
    <w:rsid w:val="00210521"/>
    <w:rsid w:val="002109ED"/>
    <w:rsid w:val="00210DD5"/>
    <w:rsid w:val="002112CC"/>
    <w:rsid w:val="00211320"/>
    <w:rsid w:val="00211635"/>
    <w:rsid w:val="002117F9"/>
    <w:rsid w:val="00211B68"/>
    <w:rsid w:val="002122F8"/>
    <w:rsid w:val="002124E9"/>
    <w:rsid w:val="00212841"/>
    <w:rsid w:val="002129BF"/>
    <w:rsid w:val="00213586"/>
    <w:rsid w:val="00213B47"/>
    <w:rsid w:val="00213BC0"/>
    <w:rsid w:val="002144EE"/>
    <w:rsid w:val="0021459A"/>
    <w:rsid w:val="00214B77"/>
    <w:rsid w:val="00214C6D"/>
    <w:rsid w:val="002161F0"/>
    <w:rsid w:val="002163FD"/>
    <w:rsid w:val="00216D8A"/>
    <w:rsid w:val="00216DDD"/>
    <w:rsid w:val="00216EE1"/>
    <w:rsid w:val="00217244"/>
    <w:rsid w:val="002178C0"/>
    <w:rsid w:val="00220429"/>
    <w:rsid w:val="00220BDE"/>
    <w:rsid w:val="00223565"/>
    <w:rsid w:val="00223FD4"/>
    <w:rsid w:val="002249B8"/>
    <w:rsid w:val="00224C2A"/>
    <w:rsid w:val="00224F28"/>
    <w:rsid w:val="0023009C"/>
    <w:rsid w:val="0023022C"/>
    <w:rsid w:val="00230733"/>
    <w:rsid w:val="00230CAE"/>
    <w:rsid w:val="00231AB6"/>
    <w:rsid w:val="00232380"/>
    <w:rsid w:val="00233B0C"/>
    <w:rsid w:val="0023495A"/>
    <w:rsid w:val="002349A0"/>
    <w:rsid w:val="002370B2"/>
    <w:rsid w:val="00237B18"/>
    <w:rsid w:val="00240E9F"/>
    <w:rsid w:val="00240EF2"/>
    <w:rsid w:val="002417B1"/>
    <w:rsid w:val="00241972"/>
    <w:rsid w:val="0024280A"/>
    <w:rsid w:val="0024299F"/>
    <w:rsid w:val="00243839"/>
    <w:rsid w:val="00244028"/>
    <w:rsid w:val="00244882"/>
    <w:rsid w:val="00244B11"/>
    <w:rsid w:val="00245979"/>
    <w:rsid w:val="00245C29"/>
    <w:rsid w:val="00245EAE"/>
    <w:rsid w:val="00246064"/>
    <w:rsid w:val="00246B38"/>
    <w:rsid w:val="00247D5D"/>
    <w:rsid w:val="00250F80"/>
    <w:rsid w:val="00251F78"/>
    <w:rsid w:val="00251FA6"/>
    <w:rsid w:val="002525C7"/>
    <w:rsid w:val="00253885"/>
    <w:rsid w:val="00255470"/>
    <w:rsid w:val="002554A7"/>
    <w:rsid w:val="002554AD"/>
    <w:rsid w:val="002555EC"/>
    <w:rsid w:val="00255DC1"/>
    <w:rsid w:val="00256B2B"/>
    <w:rsid w:val="00256F04"/>
    <w:rsid w:val="00257AD4"/>
    <w:rsid w:val="002608F6"/>
    <w:rsid w:val="002609D7"/>
    <w:rsid w:val="002610C9"/>
    <w:rsid w:val="002636B4"/>
    <w:rsid w:val="002653D1"/>
    <w:rsid w:val="00265BE0"/>
    <w:rsid w:val="00265E8F"/>
    <w:rsid w:val="00266A1A"/>
    <w:rsid w:val="002672CE"/>
    <w:rsid w:val="00270403"/>
    <w:rsid w:val="00270721"/>
    <w:rsid w:val="00271328"/>
    <w:rsid w:val="002713B0"/>
    <w:rsid w:val="0027277A"/>
    <w:rsid w:val="00272AD8"/>
    <w:rsid w:val="002730F2"/>
    <w:rsid w:val="00273138"/>
    <w:rsid w:val="00273DFE"/>
    <w:rsid w:val="002740D5"/>
    <w:rsid w:val="00274428"/>
    <w:rsid w:val="00274893"/>
    <w:rsid w:val="002752CD"/>
    <w:rsid w:val="00275346"/>
    <w:rsid w:val="0027551E"/>
    <w:rsid w:val="002757F2"/>
    <w:rsid w:val="00275B5C"/>
    <w:rsid w:val="00275C0A"/>
    <w:rsid w:val="00275CAC"/>
    <w:rsid w:val="00276373"/>
    <w:rsid w:val="00276BC9"/>
    <w:rsid w:val="0027796C"/>
    <w:rsid w:val="00277B19"/>
    <w:rsid w:val="00280FC8"/>
    <w:rsid w:val="00281741"/>
    <w:rsid w:val="00281A31"/>
    <w:rsid w:val="00281D78"/>
    <w:rsid w:val="00282C2F"/>
    <w:rsid w:val="00282CD2"/>
    <w:rsid w:val="00283145"/>
    <w:rsid w:val="002835C8"/>
    <w:rsid w:val="002848CD"/>
    <w:rsid w:val="00284A63"/>
    <w:rsid w:val="00285611"/>
    <w:rsid w:val="002856F9"/>
    <w:rsid w:val="00285BC9"/>
    <w:rsid w:val="00286062"/>
    <w:rsid w:val="002863F3"/>
    <w:rsid w:val="002864FB"/>
    <w:rsid w:val="00286871"/>
    <w:rsid w:val="00290577"/>
    <w:rsid w:val="0029190E"/>
    <w:rsid w:val="00291E08"/>
    <w:rsid w:val="00292146"/>
    <w:rsid w:val="00292716"/>
    <w:rsid w:val="0029330E"/>
    <w:rsid w:val="00293632"/>
    <w:rsid w:val="00293956"/>
    <w:rsid w:val="00293C8D"/>
    <w:rsid w:val="00294397"/>
    <w:rsid w:val="00294C91"/>
    <w:rsid w:val="00294EA6"/>
    <w:rsid w:val="00295AD8"/>
    <w:rsid w:val="00296404"/>
    <w:rsid w:val="00296639"/>
    <w:rsid w:val="002A04B3"/>
    <w:rsid w:val="002A0F10"/>
    <w:rsid w:val="002A1359"/>
    <w:rsid w:val="002A2C87"/>
    <w:rsid w:val="002A3089"/>
    <w:rsid w:val="002A3399"/>
    <w:rsid w:val="002A4F44"/>
    <w:rsid w:val="002A534D"/>
    <w:rsid w:val="002A56A4"/>
    <w:rsid w:val="002A6D13"/>
    <w:rsid w:val="002A71E2"/>
    <w:rsid w:val="002B273B"/>
    <w:rsid w:val="002B3295"/>
    <w:rsid w:val="002B366D"/>
    <w:rsid w:val="002B3783"/>
    <w:rsid w:val="002B41D4"/>
    <w:rsid w:val="002B4FEA"/>
    <w:rsid w:val="002B5199"/>
    <w:rsid w:val="002B53BD"/>
    <w:rsid w:val="002B59E7"/>
    <w:rsid w:val="002B6329"/>
    <w:rsid w:val="002B6D6E"/>
    <w:rsid w:val="002B7BD8"/>
    <w:rsid w:val="002C0081"/>
    <w:rsid w:val="002C0CEF"/>
    <w:rsid w:val="002C185D"/>
    <w:rsid w:val="002C2453"/>
    <w:rsid w:val="002C24B8"/>
    <w:rsid w:val="002C258D"/>
    <w:rsid w:val="002C2AE7"/>
    <w:rsid w:val="002C2C1B"/>
    <w:rsid w:val="002C33F5"/>
    <w:rsid w:val="002C3FBE"/>
    <w:rsid w:val="002C4189"/>
    <w:rsid w:val="002C45C2"/>
    <w:rsid w:val="002C5380"/>
    <w:rsid w:val="002C5950"/>
    <w:rsid w:val="002C65B1"/>
    <w:rsid w:val="002C6BEA"/>
    <w:rsid w:val="002C6CCD"/>
    <w:rsid w:val="002C6CF3"/>
    <w:rsid w:val="002C74D5"/>
    <w:rsid w:val="002C7A01"/>
    <w:rsid w:val="002C7A1E"/>
    <w:rsid w:val="002D049E"/>
    <w:rsid w:val="002D063C"/>
    <w:rsid w:val="002D14E9"/>
    <w:rsid w:val="002D2D79"/>
    <w:rsid w:val="002D2FB1"/>
    <w:rsid w:val="002D46E2"/>
    <w:rsid w:val="002D485D"/>
    <w:rsid w:val="002D4E5C"/>
    <w:rsid w:val="002D5029"/>
    <w:rsid w:val="002D517D"/>
    <w:rsid w:val="002D6079"/>
    <w:rsid w:val="002D628C"/>
    <w:rsid w:val="002D6A5B"/>
    <w:rsid w:val="002D763C"/>
    <w:rsid w:val="002D7AA0"/>
    <w:rsid w:val="002E07C2"/>
    <w:rsid w:val="002E14AC"/>
    <w:rsid w:val="002E1A41"/>
    <w:rsid w:val="002E1EFC"/>
    <w:rsid w:val="002E23F9"/>
    <w:rsid w:val="002E252F"/>
    <w:rsid w:val="002E2649"/>
    <w:rsid w:val="002E2DD8"/>
    <w:rsid w:val="002E3177"/>
    <w:rsid w:val="002E32A7"/>
    <w:rsid w:val="002E32B8"/>
    <w:rsid w:val="002E4E6F"/>
    <w:rsid w:val="002E51B4"/>
    <w:rsid w:val="002E5F20"/>
    <w:rsid w:val="002E5FF8"/>
    <w:rsid w:val="002E6757"/>
    <w:rsid w:val="002E6840"/>
    <w:rsid w:val="002E71CF"/>
    <w:rsid w:val="002E722D"/>
    <w:rsid w:val="002E7704"/>
    <w:rsid w:val="002E7ED5"/>
    <w:rsid w:val="002F009F"/>
    <w:rsid w:val="002F04F5"/>
    <w:rsid w:val="002F0B19"/>
    <w:rsid w:val="002F1385"/>
    <w:rsid w:val="002F1FBC"/>
    <w:rsid w:val="002F1FD5"/>
    <w:rsid w:val="002F2A91"/>
    <w:rsid w:val="002F3450"/>
    <w:rsid w:val="002F3CD9"/>
    <w:rsid w:val="002F48CB"/>
    <w:rsid w:val="002F4DBC"/>
    <w:rsid w:val="002F4F1D"/>
    <w:rsid w:val="002F4F82"/>
    <w:rsid w:val="002F54D6"/>
    <w:rsid w:val="002F6216"/>
    <w:rsid w:val="002F6661"/>
    <w:rsid w:val="002F6DD1"/>
    <w:rsid w:val="002F79E5"/>
    <w:rsid w:val="002F7B24"/>
    <w:rsid w:val="002F7DDB"/>
    <w:rsid w:val="002F7DE9"/>
    <w:rsid w:val="00300D7A"/>
    <w:rsid w:val="00300EAA"/>
    <w:rsid w:val="0030101C"/>
    <w:rsid w:val="003011A7"/>
    <w:rsid w:val="00301F07"/>
    <w:rsid w:val="0030257A"/>
    <w:rsid w:val="003039BB"/>
    <w:rsid w:val="00303DD7"/>
    <w:rsid w:val="00304371"/>
    <w:rsid w:val="0030438D"/>
    <w:rsid w:val="003047ED"/>
    <w:rsid w:val="003048FE"/>
    <w:rsid w:val="00304DD6"/>
    <w:rsid w:val="0030614D"/>
    <w:rsid w:val="003073B4"/>
    <w:rsid w:val="00307BD0"/>
    <w:rsid w:val="00307D52"/>
    <w:rsid w:val="003115D3"/>
    <w:rsid w:val="00311AA5"/>
    <w:rsid w:val="00312303"/>
    <w:rsid w:val="0031266D"/>
    <w:rsid w:val="00312AF0"/>
    <w:rsid w:val="00312DE1"/>
    <w:rsid w:val="0031310B"/>
    <w:rsid w:val="00313E3F"/>
    <w:rsid w:val="0031517A"/>
    <w:rsid w:val="00315625"/>
    <w:rsid w:val="00315B1E"/>
    <w:rsid w:val="003170ED"/>
    <w:rsid w:val="0031722F"/>
    <w:rsid w:val="00317B28"/>
    <w:rsid w:val="00317BC8"/>
    <w:rsid w:val="00320346"/>
    <w:rsid w:val="003207FB"/>
    <w:rsid w:val="00322CEB"/>
    <w:rsid w:val="00322E81"/>
    <w:rsid w:val="00323026"/>
    <w:rsid w:val="003232C0"/>
    <w:rsid w:val="003233BC"/>
    <w:rsid w:val="00323503"/>
    <w:rsid w:val="00323A9D"/>
    <w:rsid w:val="00323F1A"/>
    <w:rsid w:val="0032454D"/>
    <w:rsid w:val="003247BC"/>
    <w:rsid w:val="00324C2E"/>
    <w:rsid w:val="003255B8"/>
    <w:rsid w:val="00325672"/>
    <w:rsid w:val="00325E38"/>
    <w:rsid w:val="00325E80"/>
    <w:rsid w:val="003260B5"/>
    <w:rsid w:val="003266EF"/>
    <w:rsid w:val="00326A9A"/>
    <w:rsid w:val="0032709E"/>
    <w:rsid w:val="003272D0"/>
    <w:rsid w:val="0032767F"/>
    <w:rsid w:val="00327DFF"/>
    <w:rsid w:val="0033026B"/>
    <w:rsid w:val="003305BD"/>
    <w:rsid w:val="00330BC6"/>
    <w:rsid w:val="00330FC4"/>
    <w:rsid w:val="003317FE"/>
    <w:rsid w:val="00332618"/>
    <w:rsid w:val="003329CD"/>
    <w:rsid w:val="0033571B"/>
    <w:rsid w:val="0033601E"/>
    <w:rsid w:val="00337789"/>
    <w:rsid w:val="00337BA6"/>
    <w:rsid w:val="00337FCE"/>
    <w:rsid w:val="0034012D"/>
    <w:rsid w:val="00340AB1"/>
    <w:rsid w:val="003412E0"/>
    <w:rsid w:val="00341307"/>
    <w:rsid w:val="003414EB"/>
    <w:rsid w:val="00341C24"/>
    <w:rsid w:val="00342C98"/>
    <w:rsid w:val="00343EF7"/>
    <w:rsid w:val="0034479A"/>
    <w:rsid w:val="00344BE2"/>
    <w:rsid w:val="003452C0"/>
    <w:rsid w:val="00345656"/>
    <w:rsid w:val="00345FE0"/>
    <w:rsid w:val="00346AA8"/>
    <w:rsid w:val="003475A9"/>
    <w:rsid w:val="0034773E"/>
    <w:rsid w:val="00347D38"/>
    <w:rsid w:val="0035082C"/>
    <w:rsid w:val="00350EF9"/>
    <w:rsid w:val="00350FFC"/>
    <w:rsid w:val="003518F5"/>
    <w:rsid w:val="00352266"/>
    <w:rsid w:val="00352685"/>
    <w:rsid w:val="00352D37"/>
    <w:rsid w:val="003536F4"/>
    <w:rsid w:val="0035393F"/>
    <w:rsid w:val="00353C4E"/>
    <w:rsid w:val="00353D0D"/>
    <w:rsid w:val="0035415D"/>
    <w:rsid w:val="0035426D"/>
    <w:rsid w:val="003546B5"/>
    <w:rsid w:val="00354854"/>
    <w:rsid w:val="00354862"/>
    <w:rsid w:val="003550AB"/>
    <w:rsid w:val="003568BD"/>
    <w:rsid w:val="00357412"/>
    <w:rsid w:val="0035747B"/>
    <w:rsid w:val="00357D2B"/>
    <w:rsid w:val="00361462"/>
    <w:rsid w:val="00361A2A"/>
    <w:rsid w:val="00361F88"/>
    <w:rsid w:val="0036216D"/>
    <w:rsid w:val="003622AC"/>
    <w:rsid w:val="003623F0"/>
    <w:rsid w:val="00362756"/>
    <w:rsid w:val="00362ACE"/>
    <w:rsid w:val="00362B89"/>
    <w:rsid w:val="00362CB5"/>
    <w:rsid w:val="00362CFB"/>
    <w:rsid w:val="003633AD"/>
    <w:rsid w:val="00363856"/>
    <w:rsid w:val="003638E3"/>
    <w:rsid w:val="00364CED"/>
    <w:rsid w:val="00364D4B"/>
    <w:rsid w:val="00365F85"/>
    <w:rsid w:val="003662E0"/>
    <w:rsid w:val="00366379"/>
    <w:rsid w:val="00366619"/>
    <w:rsid w:val="0036680A"/>
    <w:rsid w:val="003708A0"/>
    <w:rsid w:val="0037138B"/>
    <w:rsid w:val="00371B87"/>
    <w:rsid w:val="00372B74"/>
    <w:rsid w:val="00373A7E"/>
    <w:rsid w:val="003749F3"/>
    <w:rsid w:val="003750BB"/>
    <w:rsid w:val="0037592C"/>
    <w:rsid w:val="0037601F"/>
    <w:rsid w:val="00376B45"/>
    <w:rsid w:val="003777A1"/>
    <w:rsid w:val="00377912"/>
    <w:rsid w:val="003800C3"/>
    <w:rsid w:val="00381586"/>
    <w:rsid w:val="003817D1"/>
    <w:rsid w:val="00381DAA"/>
    <w:rsid w:val="00382EF2"/>
    <w:rsid w:val="00383693"/>
    <w:rsid w:val="0038388D"/>
    <w:rsid w:val="00383A0E"/>
    <w:rsid w:val="00384144"/>
    <w:rsid w:val="00384C3C"/>
    <w:rsid w:val="00386A0E"/>
    <w:rsid w:val="00387876"/>
    <w:rsid w:val="00387A3A"/>
    <w:rsid w:val="003900FF"/>
    <w:rsid w:val="0039078E"/>
    <w:rsid w:val="00390DD9"/>
    <w:rsid w:val="00391A6B"/>
    <w:rsid w:val="00392864"/>
    <w:rsid w:val="00392A21"/>
    <w:rsid w:val="00393E85"/>
    <w:rsid w:val="00395636"/>
    <w:rsid w:val="00396163"/>
    <w:rsid w:val="003968E5"/>
    <w:rsid w:val="003970B7"/>
    <w:rsid w:val="00397236"/>
    <w:rsid w:val="003A0687"/>
    <w:rsid w:val="003A187D"/>
    <w:rsid w:val="003A1E13"/>
    <w:rsid w:val="003A20B4"/>
    <w:rsid w:val="003A387C"/>
    <w:rsid w:val="003A394A"/>
    <w:rsid w:val="003A3D5D"/>
    <w:rsid w:val="003A4269"/>
    <w:rsid w:val="003A49E3"/>
    <w:rsid w:val="003A4E32"/>
    <w:rsid w:val="003A55C6"/>
    <w:rsid w:val="003A5F07"/>
    <w:rsid w:val="003A67BA"/>
    <w:rsid w:val="003A7265"/>
    <w:rsid w:val="003A72E7"/>
    <w:rsid w:val="003A7457"/>
    <w:rsid w:val="003A789F"/>
    <w:rsid w:val="003A7B38"/>
    <w:rsid w:val="003A7BEC"/>
    <w:rsid w:val="003A7DEB"/>
    <w:rsid w:val="003B1067"/>
    <w:rsid w:val="003B2288"/>
    <w:rsid w:val="003B234C"/>
    <w:rsid w:val="003B3609"/>
    <w:rsid w:val="003B4C0E"/>
    <w:rsid w:val="003B63EE"/>
    <w:rsid w:val="003B6C94"/>
    <w:rsid w:val="003B715B"/>
    <w:rsid w:val="003B7451"/>
    <w:rsid w:val="003C0786"/>
    <w:rsid w:val="003C109C"/>
    <w:rsid w:val="003C1E11"/>
    <w:rsid w:val="003C22FB"/>
    <w:rsid w:val="003C240F"/>
    <w:rsid w:val="003C2B6F"/>
    <w:rsid w:val="003C3430"/>
    <w:rsid w:val="003C4210"/>
    <w:rsid w:val="003C797A"/>
    <w:rsid w:val="003D1818"/>
    <w:rsid w:val="003D1A9E"/>
    <w:rsid w:val="003D22D4"/>
    <w:rsid w:val="003D2A12"/>
    <w:rsid w:val="003D3D7E"/>
    <w:rsid w:val="003D4B45"/>
    <w:rsid w:val="003D52F8"/>
    <w:rsid w:val="003D7184"/>
    <w:rsid w:val="003D779A"/>
    <w:rsid w:val="003D7D47"/>
    <w:rsid w:val="003E0562"/>
    <w:rsid w:val="003E05CA"/>
    <w:rsid w:val="003E0943"/>
    <w:rsid w:val="003E0A2C"/>
    <w:rsid w:val="003E0CF7"/>
    <w:rsid w:val="003E10DC"/>
    <w:rsid w:val="003E1EBA"/>
    <w:rsid w:val="003E2E81"/>
    <w:rsid w:val="003E35AC"/>
    <w:rsid w:val="003E4ABB"/>
    <w:rsid w:val="003E4D26"/>
    <w:rsid w:val="003E4FB2"/>
    <w:rsid w:val="003E54B5"/>
    <w:rsid w:val="003E56B3"/>
    <w:rsid w:val="003E5E25"/>
    <w:rsid w:val="003E5F44"/>
    <w:rsid w:val="003E61E5"/>
    <w:rsid w:val="003E64D1"/>
    <w:rsid w:val="003E71A9"/>
    <w:rsid w:val="003E71D5"/>
    <w:rsid w:val="003E761F"/>
    <w:rsid w:val="003E7756"/>
    <w:rsid w:val="003E7CA5"/>
    <w:rsid w:val="003F0F30"/>
    <w:rsid w:val="003F18C1"/>
    <w:rsid w:val="003F19A7"/>
    <w:rsid w:val="003F1C99"/>
    <w:rsid w:val="003F1FFC"/>
    <w:rsid w:val="003F3063"/>
    <w:rsid w:val="003F3181"/>
    <w:rsid w:val="003F3347"/>
    <w:rsid w:val="003F354F"/>
    <w:rsid w:val="003F35DC"/>
    <w:rsid w:val="003F44B5"/>
    <w:rsid w:val="003F4C7A"/>
    <w:rsid w:val="003F5D7F"/>
    <w:rsid w:val="003F66A0"/>
    <w:rsid w:val="003F6828"/>
    <w:rsid w:val="003F6DE7"/>
    <w:rsid w:val="003F6E6C"/>
    <w:rsid w:val="003F7694"/>
    <w:rsid w:val="003F791C"/>
    <w:rsid w:val="003F7A96"/>
    <w:rsid w:val="003F7FC8"/>
    <w:rsid w:val="004003FD"/>
    <w:rsid w:val="00400C01"/>
    <w:rsid w:val="00402908"/>
    <w:rsid w:val="004029AD"/>
    <w:rsid w:val="004049DE"/>
    <w:rsid w:val="00404F13"/>
    <w:rsid w:val="00405856"/>
    <w:rsid w:val="00406582"/>
    <w:rsid w:val="00407581"/>
    <w:rsid w:val="004104F5"/>
    <w:rsid w:val="00410638"/>
    <w:rsid w:val="004107A7"/>
    <w:rsid w:val="004113AD"/>
    <w:rsid w:val="0041171D"/>
    <w:rsid w:val="00411D2E"/>
    <w:rsid w:val="00412BDB"/>
    <w:rsid w:val="0041359A"/>
    <w:rsid w:val="004140DD"/>
    <w:rsid w:val="0041434A"/>
    <w:rsid w:val="0041439E"/>
    <w:rsid w:val="004144F9"/>
    <w:rsid w:val="004147BD"/>
    <w:rsid w:val="00414A44"/>
    <w:rsid w:val="00414A6F"/>
    <w:rsid w:val="004152D5"/>
    <w:rsid w:val="004166C5"/>
    <w:rsid w:val="00416AAE"/>
    <w:rsid w:val="00416C42"/>
    <w:rsid w:val="004172E6"/>
    <w:rsid w:val="004176EC"/>
    <w:rsid w:val="00420658"/>
    <w:rsid w:val="004214AE"/>
    <w:rsid w:val="00422027"/>
    <w:rsid w:val="004222A5"/>
    <w:rsid w:val="0042287A"/>
    <w:rsid w:val="00423BC0"/>
    <w:rsid w:val="00424527"/>
    <w:rsid w:val="00424F3D"/>
    <w:rsid w:val="0042565F"/>
    <w:rsid w:val="00425682"/>
    <w:rsid w:val="00427014"/>
    <w:rsid w:val="00427762"/>
    <w:rsid w:val="004312AF"/>
    <w:rsid w:val="00431A51"/>
    <w:rsid w:val="00432597"/>
    <w:rsid w:val="004334E7"/>
    <w:rsid w:val="004337B2"/>
    <w:rsid w:val="004338BC"/>
    <w:rsid w:val="004342E1"/>
    <w:rsid w:val="004346E3"/>
    <w:rsid w:val="00434757"/>
    <w:rsid w:val="0043524E"/>
    <w:rsid w:val="00435C3F"/>
    <w:rsid w:val="00435D87"/>
    <w:rsid w:val="00440096"/>
    <w:rsid w:val="00440CF8"/>
    <w:rsid w:val="00440F95"/>
    <w:rsid w:val="004411AC"/>
    <w:rsid w:val="004416BC"/>
    <w:rsid w:val="0044172D"/>
    <w:rsid w:val="00441AC0"/>
    <w:rsid w:val="00441AE7"/>
    <w:rsid w:val="00442314"/>
    <w:rsid w:val="00442C77"/>
    <w:rsid w:val="00443473"/>
    <w:rsid w:val="004439CA"/>
    <w:rsid w:val="004439FB"/>
    <w:rsid w:val="004442E3"/>
    <w:rsid w:val="00444FE7"/>
    <w:rsid w:val="00446BB1"/>
    <w:rsid w:val="00446BC9"/>
    <w:rsid w:val="00447074"/>
    <w:rsid w:val="004471AD"/>
    <w:rsid w:val="0044761A"/>
    <w:rsid w:val="00447CD7"/>
    <w:rsid w:val="00447D28"/>
    <w:rsid w:val="004511DF"/>
    <w:rsid w:val="00451223"/>
    <w:rsid w:val="004514CD"/>
    <w:rsid w:val="004526C6"/>
    <w:rsid w:val="0045349E"/>
    <w:rsid w:val="00453A46"/>
    <w:rsid w:val="00453A62"/>
    <w:rsid w:val="00454D3F"/>
    <w:rsid w:val="00454F7F"/>
    <w:rsid w:val="0045543D"/>
    <w:rsid w:val="00455B69"/>
    <w:rsid w:val="00455EEE"/>
    <w:rsid w:val="00456409"/>
    <w:rsid w:val="00460804"/>
    <w:rsid w:val="004609B2"/>
    <w:rsid w:val="00461DFA"/>
    <w:rsid w:val="00463677"/>
    <w:rsid w:val="00463762"/>
    <w:rsid w:val="00464044"/>
    <w:rsid w:val="00464618"/>
    <w:rsid w:val="00464818"/>
    <w:rsid w:val="00464842"/>
    <w:rsid w:val="00464CDC"/>
    <w:rsid w:val="00464FB8"/>
    <w:rsid w:val="00465781"/>
    <w:rsid w:val="00465D18"/>
    <w:rsid w:val="00465FB1"/>
    <w:rsid w:val="0046613F"/>
    <w:rsid w:val="00470026"/>
    <w:rsid w:val="00470CF4"/>
    <w:rsid w:val="0047148B"/>
    <w:rsid w:val="00473280"/>
    <w:rsid w:val="00473890"/>
    <w:rsid w:val="00473A5D"/>
    <w:rsid w:val="00473FE4"/>
    <w:rsid w:val="004745B6"/>
    <w:rsid w:val="00474CA3"/>
    <w:rsid w:val="004751C6"/>
    <w:rsid w:val="00475825"/>
    <w:rsid w:val="00476A51"/>
    <w:rsid w:val="0047704E"/>
    <w:rsid w:val="00477989"/>
    <w:rsid w:val="0048015E"/>
    <w:rsid w:val="00480BA2"/>
    <w:rsid w:val="00480D7E"/>
    <w:rsid w:val="00481109"/>
    <w:rsid w:val="0048273B"/>
    <w:rsid w:val="00483577"/>
    <w:rsid w:val="00483CF2"/>
    <w:rsid w:val="004844D0"/>
    <w:rsid w:val="004855E3"/>
    <w:rsid w:val="00486039"/>
    <w:rsid w:val="0048677F"/>
    <w:rsid w:val="00486FA2"/>
    <w:rsid w:val="0049037F"/>
    <w:rsid w:val="004903E7"/>
    <w:rsid w:val="00490719"/>
    <w:rsid w:val="0049097F"/>
    <w:rsid w:val="0049116B"/>
    <w:rsid w:val="00491E4D"/>
    <w:rsid w:val="004924E4"/>
    <w:rsid w:val="004939B3"/>
    <w:rsid w:val="00494191"/>
    <w:rsid w:val="00494BB4"/>
    <w:rsid w:val="00494C17"/>
    <w:rsid w:val="00494C8E"/>
    <w:rsid w:val="004956EB"/>
    <w:rsid w:val="00496196"/>
    <w:rsid w:val="004971E7"/>
    <w:rsid w:val="0049750A"/>
    <w:rsid w:val="004A04CE"/>
    <w:rsid w:val="004A0783"/>
    <w:rsid w:val="004A0C51"/>
    <w:rsid w:val="004A15CC"/>
    <w:rsid w:val="004A363B"/>
    <w:rsid w:val="004A392C"/>
    <w:rsid w:val="004A3B85"/>
    <w:rsid w:val="004A4B31"/>
    <w:rsid w:val="004A5043"/>
    <w:rsid w:val="004A5B24"/>
    <w:rsid w:val="004A6D2A"/>
    <w:rsid w:val="004A6FB8"/>
    <w:rsid w:val="004A756F"/>
    <w:rsid w:val="004A7899"/>
    <w:rsid w:val="004A79A7"/>
    <w:rsid w:val="004A7EFD"/>
    <w:rsid w:val="004B01C1"/>
    <w:rsid w:val="004B0452"/>
    <w:rsid w:val="004B115D"/>
    <w:rsid w:val="004B21CA"/>
    <w:rsid w:val="004B2301"/>
    <w:rsid w:val="004B2CAC"/>
    <w:rsid w:val="004B3909"/>
    <w:rsid w:val="004B3EA9"/>
    <w:rsid w:val="004B4688"/>
    <w:rsid w:val="004B568C"/>
    <w:rsid w:val="004B5BFA"/>
    <w:rsid w:val="004B5F9F"/>
    <w:rsid w:val="004B779B"/>
    <w:rsid w:val="004B7BC1"/>
    <w:rsid w:val="004C0710"/>
    <w:rsid w:val="004C1B44"/>
    <w:rsid w:val="004C28AC"/>
    <w:rsid w:val="004C30D6"/>
    <w:rsid w:val="004C35DC"/>
    <w:rsid w:val="004C42C6"/>
    <w:rsid w:val="004C440B"/>
    <w:rsid w:val="004C5119"/>
    <w:rsid w:val="004C5387"/>
    <w:rsid w:val="004C5459"/>
    <w:rsid w:val="004C5830"/>
    <w:rsid w:val="004C5ECD"/>
    <w:rsid w:val="004C6091"/>
    <w:rsid w:val="004C7337"/>
    <w:rsid w:val="004C743B"/>
    <w:rsid w:val="004D02D7"/>
    <w:rsid w:val="004D0369"/>
    <w:rsid w:val="004D0B53"/>
    <w:rsid w:val="004D0FCB"/>
    <w:rsid w:val="004D1166"/>
    <w:rsid w:val="004D1469"/>
    <w:rsid w:val="004D1510"/>
    <w:rsid w:val="004D1B43"/>
    <w:rsid w:val="004D2636"/>
    <w:rsid w:val="004D2907"/>
    <w:rsid w:val="004D3CC4"/>
    <w:rsid w:val="004D4E28"/>
    <w:rsid w:val="004D5BC1"/>
    <w:rsid w:val="004D5F26"/>
    <w:rsid w:val="004D6746"/>
    <w:rsid w:val="004D6B94"/>
    <w:rsid w:val="004E0355"/>
    <w:rsid w:val="004E05E3"/>
    <w:rsid w:val="004E0AAD"/>
    <w:rsid w:val="004E1E4C"/>
    <w:rsid w:val="004E2D09"/>
    <w:rsid w:val="004E2ECB"/>
    <w:rsid w:val="004E366E"/>
    <w:rsid w:val="004E3682"/>
    <w:rsid w:val="004E3EC2"/>
    <w:rsid w:val="004E43E0"/>
    <w:rsid w:val="004E4BA4"/>
    <w:rsid w:val="004E62B9"/>
    <w:rsid w:val="004E68CD"/>
    <w:rsid w:val="004E6AA3"/>
    <w:rsid w:val="004E6D92"/>
    <w:rsid w:val="004E6FB6"/>
    <w:rsid w:val="004E722D"/>
    <w:rsid w:val="004E7D12"/>
    <w:rsid w:val="004F00DD"/>
    <w:rsid w:val="004F05B3"/>
    <w:rsid w:val="004F0CEF"/>
    <w:rsid w:val="004F0EDC"/>
    <w:rsid w:val="004F20C2"/>
    <w:rsid w:val="004F20DF"/>
    <w:rsid w:val="004F339A"/>
    <w:rsid w:val="004F390F"/>
    <w:rsid w:val="004F39B0"/>
    <w:rsid w:val="004F442C"/>
    <w:rsid w:val="004F46DB"/>
    <w:rsid w:val="004F4D02"/>
    <w:rsid w:val="004F4EEE"/>
    <w:rsid w:val="004F5A65"/>
    <w:rsid w:val="004F5B07"/>
    <w:rsid w:val="004F5D7F"/>
    <w:rsid w:val="004F60E0"/>
    <w:rsid w:val="004F6488"/>
    <w:rsid w:val="004F6918"/>
    <w:rsid w:val="004F6EA9"/>
    <w:rsid w:val="004F701A"/>
    <w:rsid w:val="004F7EBB"/>
    <w:rsid w:val="005001FD"/>
    <w:rsid w:val="00500815"/>
    <w:rsid w:val="005010FF"/>
    <w:rsid w:val="00501713"/>
    <w:rsid w:val="005024B8"/>
    <w:rsid w:val="00503FE3"/>
    <w:rsid w:val="00504248"/>
    <w:rsid w:val="00505A5E"/>
    <w:rsid w:val="00505DC0"/>
    <w:rsid w:val="0050673B"/>
    <w:rsid w:val="005068BD"/>
    <w:rsid w:val="0050734F"/>
    <w:rsid w:val="0050747F"/>
    <w:rsid w:val="00507658"/>
    <w:rsid w:val="00510468"/>
    <w:rsid w:val="005104FD"/>
    <w:rsid w:val="00510D18"/>
    <w:rsid w:val="00511D24"/>
    <w:rsid w:val="005127E1"/>
    <w:rsid w:val="00512C70"/>
    <w:rsid w:val="0051318D"/>
    <w:rsid w:val="00513910"/>
    <w:rsid w:val="00513DAB"/>
    <w:rsid w:val="00513F73"/>
    <w:rsid w:val="00514830"/>
    <w:rsid w:val="00514E65"/>
    <w:rsid w:val="005155D6"/>
    <w:rsid w:val="00515CD4"/>
    <w:rsid w:val="00517070"/>
    <w:rsid w:val="00517518"/>
    <w:rsid w:val="0052088D"/>
    <w:rsid w:val="00520E51"/>
    <w:rsid w:val="00521478"/>
    <w:rsid w:val="00521509"/>
    <w:rsid w:val="00521760"/>
    <w:rsid w:val="005226CD"/>
    <w:rsid w:val="00522A0D"/>
    <w:rsid w:val="00522D32"/>
    <w:rsid w:val="00522F2C"/>
    <w:rsid w:val="005243E7"/>
    <w:rsid w:val="00524A9C"/>
    <w:rsid w:val="00525ABE"/>
    <w:rsid w:val="00525D51"/>
    <w:rsid w:val="0052618E"/>
    <w:rsid w:val="005269A9"/>
    <w:rsid w:val="005279F0"/>
    <w:rsid w:val="0053053C"/>
    <w:rsid w:val="00530A05"/>
    <w:rsid w:val="00530AA3"/>
    <w:rsid w:val="00531473"/>
    <w:rsid w:val="0053192A"/>
    <w:rsid w:val="005324C3"/>
    <w:rsid w:val="005327B8"/>
    <w:rsid w:val="00532E18"/>
    <w:rsid w:val="00533C98"/>
    <w:rsid w:val="00533DFA"/>
    <w:rsid w:val="00534439"/>
    <w:rsid w:val="00534558"/>
    <w:rsid w:val="00534B0C"/>
    <w:rsid w:val="00535DC8"/>
    <w:rsid w:val="005369F1"/>
    <w:rsid w:val="00536D27"/>
    <w:rsid w:val="00537308"/>
    <w:rsid w:val="0053792D"/>
    <w:rsid w:val="00537BA9"/>
    <w:rsid w:val="00540A00"/>
    <w:rsid w:val="00540F46"/>
    <w:rsid w:val="005411B9"/>
    <w:rsid w:val="00541654"/>
    <w:rsid w:val="00541DC9"/>
    <w:rsid w:val="00541EF6"/>
    <w:rsid w:val="005420D8"/>
    <w:rsid w:val="0054257E"/>
    <w:rsid w:val="00543467"/>
    <w:rsid w:val="00543CE4"/>
    <w:rsid w:val="00543CFA"/>
    <w:rsid w:val="005440CB"/>
    <w:rsid w:val="00545381"/>
    <w:rsid w:val="00545EA8"/>
    <w:rsid w:val="00545F66"/>
    <w:rsid w:val="00546767"/>
    <w:rsid w:val="00547951"/>
    <w:rsid w:val="0055054C"/>
    <w:rsid w:val="00550724"/>
    <w:rsid w:val="005507D9"/>
    <w:rsid w:val="00550833"/>
    <w:rsid w:val="00550B7C"/>
    <w:rsid w:val="00550D0F"/>
    <w:rsid w:val="00550DA0"/>
    <w:rsid w:val="00551509"/>
    <w:rsid w:val="00552193"/>
    <w:rsid w:val="005529E2"/>
    <w:rsid w:val="00553A4C"/>
    <w:rsid w:val="005541BE"/>
    <w:rsid w:val="005544A0"/>
    <w:rsid w:val="005545F1"/>
    <w:rsid w:val="00554CDC"/>
    <w:rsid w:val="00555D05"/>
    <w:rsid w:val="00555FE3"/>
    <w:rsid w:val="00556089"/>
    <w:rsid w:val="00556899"/>
    <w:rsid w:val="00556EBF"/>
    <w:rsid w:val="005577BA"/>
    <w:rsid w:val="0056078C"/>
    <w:rsid w:val="00560E80"/>
    <w:rsid w:val="005610BD"/>
    <w:rsid w:val="0056142B"/>
    <w:rsid w:val="00561500"/>
    <w:rsid w:val="0056186C"/>
    <w:rsid w:val="0056199C"/>
    <w:rsid w:val="00562C52"/>
    <w:rsid w:val="0056318D"/>
    <w:rsid w:val="00563DA3"/>
    <w:rsid w:val="00564683"/>
    <w:rsid w:val="00564765"/>
    <w:rsid w:val="00565762"/>
    <w:rsid w:val="005658BD"/>
    <w:rsid w:val="00566BA6"/>
    <w:rsid w:val="00566E22"/>
    <w:rsid w:val="005708FE"/>
    <w:rsid w:val="00571611"/>
    <w:rsid w:val="00571D3E"/>
    <w:rsid w:val="00572129"/>
    <w:rsid w:val="005733CD"/>
    <w:rsid w:val="0057362F"/>
    <w:rsid w:val="005736B9"/>
    <w:rsid w:val="005738F0"/>
    <w:rsid w:val="005745CD"/>
    <w:rsid w:val="0057497E"/>
    <w:rsid w:val="00575474"/>
    <w:rsid w:val="005759A9"/>
    <w:rsid w:val="005766B6"/>
    <w:rsid w:val="005766C1"/>
    <w:rsid w:val="00576BE6"/>
    <w:rsid w:val="00577383"/>
    <w:rsid w:val="005778A2"/>
    <w:rsid w:val="005807A0"/>
    <w:rsid w:val="00580E7A"/>
    <w:rsid w:val="00581534"/>
    <w:rsid w:val="00582612"/>
    <w:rsid w:val="0058331C"/>
    <w:rsid w:val="005836F8"/>
    <w:rsid w:val="0058594F"/>
    <w:rsid w:val="00585CA2"/>
    <w:rsid w:val="005864ED"/>
    <w:rsid w:val="00587271"/>
    <w:rsid w:val="0058737D"/>
    <w:rsid w:val="0058756D"/>
    <w:rsid w:val="00587D19"/>
    <w:rsid w:val="00590770"/>
    <w:rsid w:val="00590D27"/>
    <w:rsid w:val="00591602"/>
    <w:rsid w:val="00591619"/>
    <w:rsid w:val="005916AD"/>
    <w:rsid w:val="005920B9"/>
    <w:rsid w:val="00592958"/>
    <w:rsid w:val="00592EED"/>
    <w:rsid w:val="00593AB7"/>
    <w:rsid w:val="00594634"/>
    <w:rsid w:val="00594B79"/>
    <w:rsid w:val="00594CBC"/>
    <w:rsid w:val="00596E79"/>
    <w:rsid w:val="00597816"/>
    <w:rsid w:val="0059783A"/>
    <w:rsid w:val="005979A6"/>
    <w:rsid w:val="00597B5B"/>
    <w:rsid w:val="005A08D4"/>
    <w:rsid w:val="005A0E7E"/>
    <w:rsid w:val="005A1B0C"/>
    <w:rsid w:val="005A1F6E"/>
    <w:rsid w:val="005A2130"/>
    <w:rsid w:val="005A2781"/>
    <w:rsid w:val="005A2D06"/>
    <w:rsid w:val="005A2E51"/>
    <w:rsid w:val="005A4774"/>
    <w:rsid w:val="005A4907"/>
    <w:rsid w:val="005A535C"/>
    <w:rsid w:val="005A6DAC"/>
    <w:rsid w:val="005A75CE"/>
    <w:rsid w:val="005A7FE2"/>
    <w:rsid w:val="005B0B85"/>
    <w:rsid w:val="005B222A"/>
    <w:rsid w:val="005B2416"/>
    <w:rsid w:val="005B37B5"/>
    <w:rsid w:val="005B49C4"/>
    <w:rsid w:val="005B5503"/>
    <w:rsid w:val="005B5ABD"/>
    <w:rsid w:val="005B5AD9"/>
    <w:rsid w:val="005B65AD"/>
    <w:rsid w:val="005B6B5F"/>
    <w:rsid w:val="005B6E80"/>
    <w:rsid w:val="005B704A"/>
    <w:rsid w:val="005B76A8"/>
    <w:rsid w:val="005B78A1"/>
    <w:rsid w:val="005B7B59"/>
    <w:rsid w:val="005B7CDF"/>
    <w:rsid w:val="005B7DC5"/>
    <w:rsid w:val="005C08D8"/>
    <w:rsid w:val="005C0FE0"/>
    <w:rsid w:val="005C14F1"/>
    <w:rsid w:val="005C2074"/>
    <w:rsid w:val="005C240D"/>
    <w:rsid w:val="005C2B94"/>
    <w:rsid w:val="005C2D44"/>
    <w:rsid w:val="005C326F"/>
    <w:rsid w:val="005C3434"/>
    <w:rsid w:val="005C4517"/>
    <w:rsid w:val="005C4647"/>
    <w:rsid w:val="005C5076"/>
    <w:rsid w:val="005C58C3"/>
    <w:rsid w:val="005C6C20"/>
    <w:rsid w:val="005C7576"/>
    <w:rsid w:val="005C7FC0"/>
    <w:rsid w:val="005C7FD0"/>
    <w:rsid w:val="005D1517"/>
    <w:rsid w:val="005D22F2"/>
    <w:rsid w:val="005D3764"/>
    <w:rsid w:val="005D3B93"/>
    <w:rsid w:val="005D3BD6"/>
    <w:rsid w:val="005D3F4F"/>
    <w:rsid w:val="005D4428"/>
    <w:rsid w:val="005D4951"/>
    <w:rsid w:val="005D5F9C"/>
    <w:rsid w:val="005D624D"/>
    <w:rsid w:val="005D6576"/>
    <w:rsid w:val="005D69BE"/>
    <w:rsid w:val="005D6EF1"/>
    <w:rsid w:val="005D6F60"/>
    <w:rsid w:val="005D718D"/>
    <w:rsid w:val="005D72ED"/>
    <w:rsid w:val="005E0AF9"/>
    <w:rsid w:val="005E0D98"/>
    <w:rsid w:val="005E23B6"/>
    <w:rsid w:val="005E2429"/>
    <w:rsid w:val="005E2B88"/>
    <w:rsid w:val="005E30F9"/>
    <w:rsid w:val="005E3D68"/>
    <w:rsid w:val="005E4288"/>
    <w:rsid w:val="005E4993"/>
    <w:rsid w:val="005E499E"/>
    <w:rsid w:val="005E5243"/>
    <w:rsid w:val="005E585D"/>
    <w:rsid w:val="005E59B9"/>
    <w:rsid w:val="005E63EA"/>
    <w:rsid w:val="005E65E4"/>
    <w:rsid w:val="005E65FB"/>
    <w:rsid w:val="005E6B45"/>
    <w:rsid w:val="005F0481"/>
    <w:rsid w:val="005F05FF"/>
    <w:rsid w:val="005F070F"/>
    <w:rsid w:val="005F0811"/>
    <w:rsid w:val="005F08D4"/>
    <w:rsid w:val="005F09CB"/>
    <w:rsid w:val="005F3078"/>
    <w:rsid w:val="005F3753"/>
    <w:rsid w:val="005F379B"/>
    <w:rsid w:val="005F6843"/>
    <w:rsid w:val="005F68E2"/>
    <w:rsid w:val="005F6E35"/>
    <w:rsid w:val="005F71CC"/>
    <w:rsid w:val="00600FE7"/>
    <w:rsid w:val="0060160A"/>
    <w:rsid w:val="00601C88"/>
    <w:rsid w:val="006021DF"/>
    <w:rsid w:val="006021E6"/>
    <w:rsid w:val="00602355"/>
    <w:rsid w:val="00602662"/>
    <w:rsid w:val="00603280"/>
    <w:rsid w:val="0060356C"/>
    <w:rsid w:val="00604554"/>
    <w:rsid w:val="006051B7"/>
    <w:rsid w:val="00605671"/>
    <w:rsid w:val="006056E9"/>
    <w:rsid w:val="00605757"/>
    <w:rsid w:val="0060576E"/>
    <w:rsid w:val="00605D54"/>
    <w:rsid w:val="00605DF0"/>
    <w:rsid w:val="0060609E"/>
    <w:rsid w:val="00606968"/>
    <w:rsid w:val="00606F5C"/>
    <w:rsid w:val="00607CC8"/>
    <w:rsid w:val="0061030C"/>
    <w:rsid w:val="00610B85"/>
    <w:rsid w:val="00610C23"/>
    <w:rsid w:val="00611720"/>
    <w:rsid w:val="00612545"/>
    <w:rsid w:val="0061275D"/>
    <w:rsid w:val="00612C31"/>
    <w:rsid w:val="00613016"/>
    <w:rsid w:val="00613635"/>
    <w:rsid w:val="006138B1"/>
    <w:rsid w:val="0061423D"/>
    <w:rsid w:val="00614736"/>
    <w:rsid w:val="00615956"/>
    <w:rsid w:val="00615B62"/>
    <w:rsid w:val="006162E7"/>
    <w:rsid w:val="006168BE"/>
    <w:rsid w:val="0061738C"/>
    <w:rsid w:val="00621476"/>
    <w:rsid w:val="00621E9D"/>
    <w:rsid w:val="006223D3"/>
    <w:rsid w:val="00622A5E"/>
    <w:rsid w:val="00622D76"/>
    <w:rsid w:val="0062432A"/>
    <w:rsid w:val="0062437F"/>
    <w:rsid w:val="00624C1B"/>
    <w:rsid w:val="00624D01"/>
    <w:rsid w:val="00624D92"/>
    <w:rsid w:val="00625012"/>
    <w:rsid w:val="006259B7"/>
    <w:rsid w:val="00627715"/>
    <w:rsid w:val="006279A9"/>
    <w:rsid w:val="006318CF"/>
    <w:rsid w:val="006324AE"/>
    <w:rsid w:val="0063258F"/>
    <w:rsid w:val="006338E7"/>
    <w:rsid w:val="00633908"/>
    <w:rsid w:val="00634E0B"/>
    <w:rsid w:val="0063511C"/>
    <w:rsid w:val="0063548E"/>
    <w:rsid w:val="00635574"/>
    <w:rsid w:val="006359B5"/>
    <w:rsid w:val="0064012C"/>
    <w:rsid w:val="0064071D"/>
    <w:rsid w:val="0064097D"/>
    <w:rsid w:val="00641108"/>
    <w:rsid w:val="006413C2"/>
    <w:rsid w:val="00641936"/>
    <w:rsid w:val="00641C60"/>
    <w:rsid w:val="00641CA6"/>
    <w:rsid w:val="00643900"/>
    <w:rsid w:val="00643C73"/>
    <w:rsid w:val="006440B8"/>
    <w:rsid w:val="0064497D"/>
    <w:rsid w:val="00644D44"/>
    <w:rsid w:val="00646C3F"/>
    <w:rsid w:val="00646CBD"/>
    <w:rsid w:val="00647EF3"/>
    <w:rsid w:val="006502E1"/>
    <w:rsid w:val="00651E23"/>
    <w:rsid w:val="00651EE8"/>
    <w:rsid w:val="006520A7"/>
    <w:rsid w:val="00652396"/>
    <w:rsid w:val="00652464"/>
    <w:rsid w:val="006529CA"/>
    <w:rsid w:val="00653FC0"/>
    <w:rsid w:val="00654105"/>
    <w:rsid w:val="00654262"/>
    <w:rsid w:val="00655767"/>
    <w:rsid w:val="00657D23"/>
    <w:rsid w:val="00660627"/>
    <w:rsid w:val="00661655"/>
    <w:rsid w:val="0066203D"/>
    <w:rsid w:val="006625AB"/>
    <w:rsid w:val="00662D71"/>
    <w:rsid w:val="00662DD3"/>
    <w:rsid w:val="00662E3D"/>
    <w:rsid w:val="00663248"/>
    <w:rsid w:val="0066375C"/>
    <w:rsid w:val="0066380B"/>
    <w:rsid w:val="00663AA3"/>
    <w:rsid w:val="006648AA"/>
    <w:rsid w:val="00664B3B"/>
    <w:rsid w:val="00665264"/>
    <w:rsid w:val="00665575"/>
    <w:rsid w:val="006660A8"/>
    <w:rsid w:val="0066658E"/>
    <w:rsid w:val="006669F9"/>
    <w:rsid w:val="00666BC3"/>
    <w:rsid w:val="00666EEC"/>
    <w:rsid w:val="00667206"/>
    <w:rsid w:val="00670457"/>
    <w:rsid w:val="00670B74"/>
    <w:rsid w:val="00672003"/>
    <w:rsid w:val="006723CC"/>
    <w:rsid w:val="00672513"/>
    <w:rsid w:val="00672557"/>
    <w:rsid w:val="006726FC"/>
    <w:rsid w:val="006748F1"/>
    <w:rsid w:val="00674B25"/>
    <w:rsid w:val="00674D11"/>
    <w:rsid w:val="00675184"/>
    <w:rsid w:val="00675621"/>
    <w:rsid w:val="006761CF"/>
    <w:rsid w:val="00677C59"/>
    <w:rsid w:val="00681609"/>
    <w:rsid w:val="00681DE3"/>
    <w:rsid w:val="006822A4"/>
    <w:rsid w:val="006829B5"/>
    <w:rsid w:val="00682D68"/>
    <w:rsid w:val="006836A5"/>
    <w:rsid w:val="00683763"/>
    <w:rsid w:val="006866DC"/>
    <w:rsid w:val="00686957"/>
    <w:rsid w:val="0068741F"/>
    <w:rsid w:val="006874A4"/>
    <w:rsid w:val="006874F5"/>
    <w:rsid w:val="00687707"/>
    <w:rsid w:val="00687A01"/>
    <w:rsid w:val="00687E36"/>
    <w:rsid w:val="00690C3A"/>
    <w:rsid w:val="00691A82"/>
    <w:rsid w:val="00691C03"/>
    <w:rsid w:val="00692731"/>
    <w:rsid w:val="00692DF1"/>
    <w:rsid w:val="006930EA"/>
    <w:rsid w:val="00693874"/>
    <w:rsid w:val="006944F5"/>
    <w:rsid w:val="00694C30"/>
    <w:rsid w:val="00695667"/>
    <w:rsid w:val="006959B1"/>
    <w:rsid w:val="00695EF5"/>
    <w:rsid w:val="00696CB2"/>
    <w:rsid w:val="00696EB6"/>
    <w:rsid w:val="006978B9"/>
    <w:rsid w:val="00697962"/>
    <w:rsid w:val="00697B19"/>
    <w:rsid w:val="00697BB4"/>
    <w:rsid w:val="00697CD0"/>
    <w:rsid w:val="00697F54"/>
    <w:rsid w:val="006A013C"/>
    <w:rsid w:val="006A030E"/>
    <w:rsid w:val="006A09BC"/>
    <w:rsid w:val="006A0DFD"/>
    <w:rsid w:val="006A110B"/>
    <w:rsid w:val="006A17BB"/>
    <w:rsid w:val="006A21A5"/>
    <w:rsid w:val="006A2C67"/>
    <w:rsid w:val="006A3810"/>
    <w:rsid w:val="006A4417"/>
    <w:rsid w:val="006A4C5D"/>
    <w:rsid w:val="006A4DD9"/>
    <w:rsid w:val="006A56DE"/>
    <w:rsid w:val="006A5B6A"/>
    <w:rsid w:val="006A5DB1"/>
    <w:rsid w:val="006A66D2"/>
    <w:rsid w:val="006A71F4"/>
    <w:rsid w:val="006A74FA"/>
    <w:rsid w:val="006A79F8"/>
    <w:rsid w:val="006A7AB0"/>
    <w:rsid w:val="006B0C6C"/>
    <w:rsid w:val="006B114F"/>
    <w:rsid w:val="006B1CD6"/>
    <w:rsid w:val="006B20EC"/>
    <w:rsid w:val="006B2B25"/>
    <w:rsid w:val="006B2BE5"/>
    <w:rsid w:val="006B2EB2"/>
    <w:rsid w:val="006B3036"/>
    <w:rsid w:val="006B38AA"/>
    <w:rsid w:val="006B3BE2"/>
    <w:rsid w:val="006B40A2"/>
    <w:rsid w:val="006B4132"/>
    <w:rsid w:val="006B4A25"/>
    <w:rsid w:val="006B56F6"/>
    <w:rsid w:val="006C0658"/>
    <w:rsid w:val="006C15EA"/>
    <w:rsid w:val="006C16A2"/>
    <w:rsid w:val="006C17BF"/>
    <w:rsid w:val="006C1966"/>
    <w:rsid w:val="006C307D"/>
    <w:rsid w:val="006C41E8"/>
    <w:rsid w:val="006C5167"/>
    <w:rsid w:val="006C5465"/>
    <w:rsid w:val="006C64AB"/>
    <w:rsid w:val="006C77E4"/>
    <w:rsid w:val="006D0010"/>
    <w:rsid w:val="006D03AF"/>
    <w:rsid w:val="006D0641"/>
    <w:rsid w:val="006D0F86"/>
    <w:rsid w:val="006D10E3"/>
    <w:rsid w:val="006D114D"/>
    <w:rsid w:val="006D271B"/>
    <w:rsid w:val="006D389E"/>
    <w:rsid w:val="006D3B6A"/>
    <w:rsid w:val="006D3CCD"/>
    <w:rsid w:val="006D3FF2"/>
    <w:rsid w:val="006D4ADF"/>
    <w:rsid w:val="006D4C5B"/>
    <w:rsid w:val="006D53E4"/>
    <w:rsid w:val="006D5A20"/>
    <w:rsid w:val="006D5A21"/>
    <w:rsid w:val="006D5D99"/>
    <w:rsid w:val="006D6002"/>
    <w:rsid w:val="006D6E56"/>
    <w:rsid w:val="006D70F0"/>
    <w:rsid w:val="006E0125"/>
    <w:rsid w:val="006E07D5"/>
    <w:rsid w:val="006E0CF0"/>
    <w:rsid w:val="006E0EC3"/>
    <w:rsid w:val="006E150F"/>
    <w:rsid w:val="006E2508"/>
    <w:rsid w:val="006E273C"/>
    <w:rsid w:val="006E3236"/>
    <w:rsid w:val="006E330C"/>
    <w:rsid w:val="006E3E45"/>
    <w:rsid w:val="006E4030"/>
    <w:rsid w:val="006E4E47"/>
    <w:rsid w:val="006E5849"/>
    <w:rsid w:val="006E5DDB"/>
    <w:rsid w:val="006E6CBB"/>
    <w:rsid w:val="006E733A"/>
    <w:rsid w:val="006F0E8F"/>
    <w:rsid w:val="006F1994"/>
    <w:rsid w:val="006F1E67"/>
    <w:rsid w:val="006F2565"/>
    <w:rsid w:val="006F2B9B"/>
    <w:rsid w:val="006F2C00"/>
    <w:rsid w:val="006F2DBB"/>
    <w:rsid w:val="006F3033"/>
    <w:rsid w:val="006F49A0"/>
    <w:rsid w:val="006F4B4B"/>
    <w:rsid w:val="006F51BD"/>
    <w:rsid w:val="006F620D"/>
    <w:rsid w:val="006F635C"/>
    <w:rsid w:val="006F70EB"/>
    <w:rsid w:val="007016D4"/>
    <w:rsid w:val="007018FB"/>
    <w:rsid w:val="007023DB"/>
    <w:rsid w:val="00703235"/>
    <w:rsid w:val="007036AD"/>
    <w:rsid w:val="0070480D"/>
    <w:rsid w:val="00704861"/>
    <w:rsid w:val="007061AF"/>
    <w:rsid w:val="00706AC2"/>
    <w:rsid w:val="00706C74"/>
    <w:rsid w:val="0070740E"/>
    <w:rsid w:val="0071147E"/>
    <w:rsid w:val="007116C5"/>
    <w:rsid w:val="00711EEC"/>
    <w:rsid w:val="00712021"/>
    <w:rsid w:val="0071273F"/>
    <w:rsid w:val="00714133"/>
    <w:rsid w:val="00714B97"/>
    <w:rsid w:val="00714B9A"/>
    <w:rsid w:val="00715C1B"/>
    <w:rsid w:val="007166C5"/>
    <w:rsid w:val="0071737B"/>
    <w:rsid w:val="0071796C"/>
    <w:rsid w:val="00720FFA"/>
    <w:rsid w:val="0072179C"/>
    <w:rsid w:val="00721989"/>
    <w:rsid w:val="0072270C"/>
    <w:rsid w:val="007236F9"/>
    <w:rsid w:val="007243A5"/>
    <w:rsid w:val="0072491F"/>
    <w:rsid w:val="007261C9"/>
    <w:rsid w:val="007262B7"/>
    <w:rsid w:val="00726708"/>
    <w:rsid w:val="0072710C"/>
    <w:rsid w:val="00727632"/>
    <w:rsid w:val="00730ACE"/>
    <w:rsid w:val="00730F81"/>
    <w:rsid w:val="0073123F"/>
    <w:rsid w:val="00732610"/>
    <w:rsid w:val="007326E5"/>
    <w:rsid w:val="007327F0"/>
    <w:rsid w:val="00733B45"/>
    <w:rsid w:val="00734213"/>
    <w:rsid w:val="00734410"/>
    <w:rsid w:val="0073479E"/>
    <w:rsid w:val="00735058"/>
    <w:rsid w:val="007355BE"/>
    <w:rsid w:val="007358D8"/>
    <w:rsid w:val="0073640A"/>
    <w:rsid w:val="00737925"/>
    <w:rsid w:val="00737C86"/>
    <w:rsid w:val="0074093F"/>
    <w:rsid w:val="00740CE9"/>
    <w:rsid w:val="00741524"/>
    <w:rsid w:val="00741711"/>
    <w:rsid w:val="0074236A"/>
    <w:rsid w:val="00742473"/>
    <w:rsid w:val="0074273E"/>
    <w:rsid w:val="007427AE"/>
    <w:rsid w:val="00742E77"/>
    <w:rsid w:val="00743A1C"/>
    <w:rsid w:val="00743B7F"/>
    <w:rsid w:val="0074416D"/>
    <w:rsid w:val="007443C9"/>
    <w:rsid w:val="00744CC4"/>
    <w:rsid w:val="0074501F"/>
    <w:rsid w:val="007452F3"/>
    <w:rsid w:val="00746C94"/>
    <w:rsid w:val="00746F29"/>
    <w:rsid w:val="00747100"/>
    <w:rsid w:val="00750056"/>
    <w:rsid w:val="007503E6"/>
    <w:rsid w:val="0075081C"/>
    <w:rsid w:val="00751974"/>
    <w:rsid w:val="00751E10"/>
    <w:rsid w:val="0075231E"/>
    <w:rsid w:val="00752BF4"/>
    <w:rsid w:val="00753465"/>
    <w:rsid w:val="00754AFB"/>
    <w:rsid w:val="00754B5F"/>
    <w:rsid w:val="00754E31"/>
    <w:rsid w:val="00754E93"/>
    <w:rsid w:val="0075654E"/>
    <w:rsid w:val="00756E44"/>
    <w:rsid w:val="00760414"/>
    <w:rsid w:val="007604B4"/>
    <w:rsid w:val="00760F34"/>
    <w:rsid w:val="0076167D"/>
    <w:rsid w:val="00761876"/>
    <w:rsid w:val="00761C2A"/>
    <w:rsid w:val="00761D58"/>
    <w:rsid w:val="00761DF0"/>
    <w:rsid w:val="00762551"/>
    <w:rsid w:val="00763432"/>
    <w:rsid w:val="00763ABB"/>
    <w:rsid w:val="00764A3E"/>
    <w:rsid w:val="00764AC6"/>
    <w:rsid w:val="007652BB"/>
    <w:rsid w:val="0076594A"/>
    <w:rsid w:val="00766475"/>
    <w:rsid w:val="00767CD3"/>
    <w:rsid w:val="00767F29"/>
    <w:rsid w:val="007706FF"/>
    <w:rsid w:val="007710EA"/>
    <w:rsid w:val="0077198A"/>
    <w:rsid w:val="00772035"/>
    <w:rsid w:val="007721B7"/>
    <w:rsid w:val="00772616"/>
    <w:rsid w:val="00772802"/>
    <w:rsid w:val="00774488"/>
    <w:rsid w:val="007749AE"/>
    <w:rsid w:val="007768F2"/>
    <w:rsid w:val="0077695F"/>
    <w:rsid w:val="00777163"/>
    <w:rsid w:val="007808C6"/>
    <w:rsid w:val="00780B0B"/>
    <w:rsid w:val="007823E6"/>
    <w:rsid w:val="00782557"/>
    <w:rsid w:val="00782A5A"/>
    <w:rsid w:val="00783632"/>
    <w:rsid w:val="00783680"/>
    <w:rsid w:val="00786069"/>
    <w:rsid w:val="007873D8"/>
    <w:rsid w:val="00787541"/>
    <w:rsid w:val="007878B0"/>
    <w:rsid w:val="0079075C"/>
    <w:rsid w:val="0079153D"/>
    <w:rsid w:val="00792AF0"/>
    <w:rsid w:val="007935FC"/>
    <w:rsid w:val="00794547"/>
    <w:rsid w:val="00795D09"/>
    <w:rsid w:val="0079603E"/>
    <w:rsid w:val="007960E5"/>
    <w:rsid w:val="007966C8"/>
    <w:rsid w:val="00796785"/>
    <w:rsid w:val="00797405"/>
    <w:rsid w:val="00797610"/>
    <w:rsid w:val="00797DA3"/>
    <w:rsid w:val="007A09B1"/>
    <w:rsid w:val="007A0D65"/>
    <w:rsid w:val="007A18B0"/>
    <w:rsid w:val="007A24FD"/>
    <w:rsid w:val="007A2B2D"/>
    <w:rsid w:val="007A2CB8"/>
    <w:rsid w:val="007A2EFD"/>
    <w:rsid w:val="007A34E2"/>
    <w:rsid w:val="007A391C"/>
    <w:rsid w:val="007A397E"/>
    <w:rsid w:val="007A3C9B"/>
    <w:rsid w:val="007A4145"/>
    <w:rsid w:val="007A44DE"/>
    <w:rsid w:val="007A459B"/>
    <w:rsid w:val="007A460D"/>
    <w:rsid w:val="007A46EE"/>
    <w:rsid w:val="007A5B05"/>
    <w:rsid w:val="007A5D20"/>
    <w:rsid w:val="007A6A65"/>
    <w:rsid w:val="007A7480"/>
    <w:rsid w:val="007A7F80"/>
    <w:rsid w:val="007B0258"/>
    <w:rsid w:val="007B0295"/>
    <w:rsid w:val="007B0CD2"/>
    <w:rsid w:val="007B0CE8"/>
    <w:rsid w:val="007B2152"/>
    <w:rsid w:val="007B2EE0"/>
    <w:rsid w:val="007B3B42"/>
    <w:rsid w:val="007B3F1A"/>
    <w:rsid w:val="007B4AB1"/>
    <w:rsid w:val="007B4C63"/>
    <w:rsid w:val="007B5B5B"/>
    <w:rsid w:val="007B5E57"/>
    <w:rsid w:val="007B5F13"/>
    <w:rsid w:val="007B5F6A"/>
    <w:rsid w:val="007B7109"/>
    <w:rsid w:val="007C01F6"/>
    <w:rsid w:val="007C026D"/>
    <w:rsid w:val="007C0345"/>
    <w:rsid w:val="007C0CED"/>
    <w:rsid w:val="007C12A2"/>
    <w:rsid w:val="007C2861"/>
    <w:rsid w:val="007C2DAC"/>
    <w:rsid w:val="007C345B"/>
    <w:rsid w:val="007C3880"/>
    <w:rsid w:val="007C3A4E"/>
    <w:rsid w:val="007C3D5E"/>
    <w:rsid w:val="007C405E"/>
    <w:rsid w:val="007C43CB"/>
    <w:rsid w:val="007C5317"/>
    <w:rsid w:val="007C6097"/>
    <w:rsid w:val="007C6F40"/>
    <w:rsid w:val="007C75D1"/>
    <w:rsid w:val="007C7703"/>
    <w:rsid w:val="007C7C47"/>
    <w:rsid w:val="007D00F0"/>
    <w:rsid w:val="007D0430"/>
    <w:rsid w:val="007D060F"/>
    <w:rsid w:val="007D0E97"/>
    <w:rsid w:val="007D0F5B"/>
    <w:rsid w:val="007D1085"/>
    <w:rsid w:val="007D1727"/>
    <w:rsid w:val="007D1970"/>
    <w:rsid w:val="007D2F63"/>
    <w:rsid w:val="007D33A7"/>
    <w:rsid w:val="007D3EAB"/>
    <w:rsid w:val="007D4956"/>
    <w:rsid w:val="007D4CED"/>
    <w:rsid w:val="007D5337"/>
    <w:rsid w:val="007D54B5"/>
    <w:rsid w:val="007D625B"/>
    <w:rsid w:val="007D640C"/>
    <w:rsid w:val="007D65FC"/>
    <w:rsid w:val="007D6A57"/>
    <w:rsid w:val="007D7EB7"/>
    <w:rsid w:val="007E0A67"/>
    <w:rsid w:val="007E0D47"/>
    <w:rsid w:val="007E1ABD"/>
    <w:rsid w:val="007E1CE7"/>
    <w:rsid w:val="007E2825"/>
    <w:rsid w:val="007E2A99"/>
    <w:rsid w:val="007E2E73"/>
    <w:rsid w:val="007E34FA"/>
    <w:rsid w:val="007E3968"/>
    <w:rsid w:val="007E3A57"/>
    <w:rsid w:val="007E4DE8"/>
    <w:rsid w:val="007E5036"/>
    <w:rsid w:val="007E511A"/>
    <w:rsid w:val="007E52B4"/>
    <w:rsid w:val="007E58E5"/>
    <w:rsid w:val="007E5F75"/>
    <w:rsid w:val="007E646D"/>
    <w:rsid w:val="007E64EC"/>
    <w:rsid w:val="007E66EB"/>
    <w:rsid w:val="007E7396"/>
    <w:rsid w:val="007E7871"/>
    <w:rsid w:val="007F00F5"/>
    <w:rsid w:val="007F01E5"/>
    <w:rsid w:val="007F04C6"/>
    <w:rsid w:val="007F0A9D"/>
    <w:rsid w:val="007F0B5E"/>
    <w:rsid w:val="007F1504"/>
    <w:rsid w:val="007F24AD"/>
    <w:rsid w:val="007F291A"/>
    <w:rsid w:val="007F292A"/>
    <w:rsid w:val="007F2C57"/>
    <w:rsid w:val="007F2D7B"/>
    <w:rsid w:val="007F2F1B"/>
    <w:rsid w:val="007F365A"/>
    <w:rsid w:val="007F3F57"/>
    <w:rsid w:val="007F4146"/>
    <w:rsid w:val="007F4D5A"/>
    <w:rsid w:val="007F4F1D"/>
    <w:rsid w:val="007F5AA9"/>
    <w:rsid w:val="007F77BE"/>
    <w:rsid w:val="00800780"/>
    <w:rsid w:val="008010B6"/>
    <w:rsid w:val="008012F7"/>
    <w:rsid w:val="0080136E"/>
    <w:rsid w:val="00801AC6"/>
    <w:rsid w:val="00801E84"/>
    <w:rsid w:val="008023A9"/>
    <w:rsid w:val="00802B30"/>
    <w:rsid w:val="00803142"/>
    <w:rsid w:val="00803EC7"/>
    <w:rsid w:val="008058F3"/>
    <w:rsid w:val="00806CEE"/>
    <w:rsid w:val="00807154"/>
    <w:rsid w:val="008072CA"/>
    <w:rsid w:val="008109E3"/>
    <w:rsid w:val="00810AC3"/>
    <w:rsid w:val="00810CE1"/>
    <w:rsid w:val="008121EC"/>
    <w:rsid w:val="008133F3"/>
    <w:rsid w:val="0081433B"/>
    <w:rsid w:val="008158E7"/>
    <w:rsid w:val="00815A10"/>
    <w:rsid w:val="008169EC"/>
    <w:rsid w:val="00816F77"/>
    <w:rsid w:val="008172B4"/>
    <w:rsid w:val="00817C7E"/>
    <w:rsid w:val="00820807"/>
    <w:rsid w:val="00820CF8"/>
    <w:rsid w:val="00820EA4"/>
    <w:rsid w:val="00821263"/>
    <w:rsid w:val="00821994"/>
    <w:rsid w:val="00821DFE"/>
    <w:rsid w:val="0082216F"/>
    <w:rsid w:val="008226AB"/>
    <w:rsid w:val="00822726"/>
    <w:rsid w:val="00822F25"/>
    <w:rsid w:val="008230FA"/>
    <w:rsid w:val="008239DD"/>
    <w:rsid w:val="00823C5D"/>
    <w:rsid w:val="0082446E"/>
    <w:rsid w:val="008248BA"/>
    <w:rsid w:val="00824B33"/>
    <w:rsid w:val="008258B2"/>
    <w:rsid w:val="00826231"/>
    <w:rsid w:val="00826A61"/>
    <w:rsid w:val="008273F1"/>
    <w:rsid w:val="00830F70"/>
    <w:rsid w:val="00830FA3"/>
    <w:rsid w:val="00830FE9"/>
    <w:rsid w:val="00831A76"/>
    <w:rsid w:val="008327EC"/>
    <w:rsid w:val="008328E6"/>
    <w:rsid w:val="00832A4D"/>
    <w:rsid w:val="00832C6E"/>
    <w:rsid w:val="00832D8D"/>
    <w:rsid w:val="00833201"/>
    <w:rsid w:val="00833BC1"/>
    <w:rsid w:val="00834046"/>
    <w:rsid w:val="00834882"/>
    <w:rsid w:val="00834B3E"/>
    <w:rsid w:val="00834E28"/>
    <w:rsid w:val="00835410"/>
    <w:rsid w:val="0083553E"/>
    <w:rsid w:val="00835938"/>
    <w:rsid w:val="00835F74"/>
    <w:rsid w:val="00836164"/>
    <w:rsid w:val="00836D2A"/>
    <w:rsid w:val="00836F16"/>
    <w:rsid w:val="00836FBA"/>
    <w:rsid w:val="00840202"/>
    <w:rsid w:val="00840237"/>
    <w:rsid w:val="00840A8A"/>
    <w:rsid w:val="00840E74"/>
    <w:rsid w:val="00841EF8"/>
    <w:rsid w:val="00842445"/>
    <w:rsid w:val="00842C52"/>
    <w:rsid w:val="00842D03"/>
    <w:rsid w:val="00843241"/>
    <w:rsid w:val="008447E5"/>
    <w:rsid w:val="0084482D"/>
    <w:rsid w:val="00844928"/>
    <w:rsid w:val="00846229"/>
    <w:rsid w:val="0084699B"/>
    <w:rsid w:val="00847141"/>
    <w:rsid w:val="00847AD0"/>
    <w:rsid w:val="008500EE"/>
    <w:rsid w:val="00850364"/>
    <w:rsid w:val="00850372"/>
    <w:rsid w:val="00850819"/>
    <w:rsid w:val="00852151"/>
    <w:rsid w:val="0085361C"/>
    <w:rsid w:val="00853FD9"/>
    <w:rsid w:val="00855452"/>
    <w:rsid w:val="00855C55"/>
    <w:rsid w:val="0085629F"/>
    <w:rsid w:val="008575C6"/>
    <w:rsid w:val="008611DD"/>
    <w:rsid w:val="008613E4"/>
    <w:rsid w:val="008621D9"/>
    <w:rsid w:val="00862278"/>
    <w:rsid w:val="0086236F"/>
    <w:rsid w:val="00862531"/>
    <w:rsid w:val="0086270E"/>
    <w:rsid w:val="00863B20"/>
    <w:rsid w:val="00864185"/>
    <w:rsid w:val="008641B1"/>
    <w:rsid w:val="00864AB1"/>
    <w:rsid w:val="0086516E"/>
    <w:rsid w:val="008653DA"/>
    <w:rsid w:val="00866941"/>
    <w:rsid w:val="0086791B"/>
    <w:rsid w:val="00870790"/>
    <w:rsid w:val="008722EB"/>
    <w:rsid w:val="008728BA"/>
    <w:rsid w:val="008739C8"/>
    <w:rsid w:val="00873FE2"/>
    <w:rsid w:val="00874839"/>
    <w:rsid w:val="0087534E"/>
    <w:rsid w:val="008753E2"/>
    <w:rsid w:val="008755C1"/>
    <w:rsid w:val="0087560B"/>
    <w:rsid w:val="00875664"/>
    <w:rsid w:val="0087571F"/>
    <w:rsid w:val="008774AE"/>
    <w:rsid w:val="00877962"/>
    <w:rsid w:val="00880D96"/>
    <w:rsid w:val="00880F48"/>
    <w:rsid w:val="00881A61"/>
    <w:rsid w:val="00881B15"/>
    <w:rsid w:val="00882244"/>
    <w:rsid w:val="00882718"/>
    <w:rsid w:val="00883155"/>
    <w:rsid w:val="008835C0"/>
    <w:rsid w:val="0088361E"/>
    <w:rsid w:val="0088377B"/>
    <w:rsid w:val="008837B0"/>
    <w:rsid w:val="008837C5"/>
    <w:rsid w:val="008851DB"/>
    <w:rsid w:val="0088634A"/>
    <w:rsid w:val="00886390"/>
    <w:rsid w:val="00886682"/>
    <w:rsid w:val="00887AFA"/>
    <w:rsid w:val="0089003F"/>
    <w:rsid w:val="008901B9"/>
    <w:rsid w:val="00890B69"/>
    <w:rsid w:val="00891075"/>
    <w:rsid w:val="00891972"/>
    <w:rsid w:val="0089209F"/>
    <w:rsid w:val="00892583"/>
    <w:rsid w:val="00892841"/>
    <w:rsid w:val="00893278"/>
    <w:rsid w:val="008934C2"/>
    <w:rsid w:val="0089394A"/>
    <w:rsid w:val="00893B23"/>
    <w:rsid w:val="00893D3D"/>
    <w:rsid w:val="008946AE"/>
    <w:rsid w:val="00895C8F"/>
    <w:rsid w:val="008960AF"/>
    <w:rsid w:val="008976C9"/>
    <w:rsid w:val="0089774C"/>
    <w:rsid w:val="008979B5"/>
    <w:rsid w:val="008A0247"/>
    <w:rsid w:val="008A1DD2"/>
    <w:rsid w:val="008A278D"/>
    <w:rsid w:val="008A3198"/>
    <w:rsid w:val="008A327E"/>
    <w:rsid w:val="008A3B0B"/>
    <w:rsid w:val="008A43C9"/>
    <w:rsid w:val="008A44CF"/>
    <w:rsid w:val="008A4765"/>
    <w:rsid w:val="008A4CCE"/>
    <w:rsid w:val="008A5377"/>
    <w:rsid w:val="008A6826"/>
    <w:rsid w:val="008A6BE2"/>
    <w:rsid w:val="008A6C12"/>
    <w:rsid w:val="008A7EC7"/>
    <w:rsid w:val="008B0387"/>
    <w:rsid w:val="008B08DE"/>
    <w:rsid w:val="008B0B27"/>
    <w:rsid w:val="008B0D87"/>
    <w:rsid w:val="008B1DAF"/>
    <w:rsid w:val="008B1E3D"/>
    <w:rsid w:val="008B2B85"/>
    <w:rsid w:val="008B2C32"/>
    <w:rsid w:val="008B30BB"/>
    <w:rsid w:val="008B32CE"/>
    <w:rsid w:val="008B4F86"/>
    <w:rsid w:val="008B5DE3"/>
    <w:rsid w:val="008B5F59"/>
    <w:rsid w:val="008B6020"/>
    <w:rsid w:val="008B613B"/>
    <w:rsid w:val="008B6538"/>
    <w:rsid w:val="008B6A10"/>
    <w:rsid w:val="008B6BD5"/>
    <w:rsid w:val="008B6E22"/>
    <w:rsid w:val="008B735D"/>
    <w:rsid w:val="008B738D"/>
    <w:rsid w:val="008C04A6"/>
    <w:rsid w:val="008C119F"/>
    <w:rsid w:val="008C1B18"/>
    <w:rsid w:val="008C248E"/>
    <w:rsid w:val="008C267A"/>
    <w:rsid w:val="008C269C"/>
    <w:rsid w:val="008C2D84"/>
    <w:rsid w:val="008C378F"/>
    <w:rsid w:val="008C3819"/>
    <w:rsid w:val="008C39A0"/>
    <w:rsid w:val="008C5357"/>
    <w:rsid w:val="008C5367"/>
    <w:rsid w:val="008C5D64"/>
    <w:rsid w:val="008C5E0B"/>
    <w:rsid w:val="008C6E6C"/>
    <w:rsid w:val="008D076C"/>
    <w:rsid w:val="008D0C0F"/>
    <w:rsid w:val="008D14D2"/>
    <w:rsid w:val="008D3328"/>
    <w:rsid w:val="008D4E48"/>
    <w:rsid w:val="008D535C"/>
    <w:rsid w:val="008D6BCD"/>
    <w:rsid w:val="008D6E24"/>
    <w:rsid w:val="008D74DC"/>
    <w:rsid w:val="008D7D97"/>
    <w:rsid w:val="008E199D"/>
    <w:rsid w:val="008E331D"/>
    <w:rsid w:val="008E33EC"/>
    <w:rsid w:val="008E3A4C"/>
    <w:rsid w:val="008E3AAA"/>
    <w:rsid w:val="008E4109"/>
    <w:rsid w:val="008E453B"/>
    <w:rsid w:val="008E4664"/>
    <w:rsid w:val="008E4700"/>
    <w:rsid w:val="008E5AE7"/>
    <w:rsid w:val="008E5B87"/>
    <w:rsid w:val="008E61E1"/>
    <w:rsid w:val="008E7871"/>
    <w:rsid w:val="008F03DD"/>
    <w:rsid w:val="008F0C7B"/>
    <w:rsid w:val="008F222C"/>
    <w:rsid w:val="008F2752"/>
    <w:rsid w:val="008F383C"/>
    <w:rsid w:val="008F3CF3"/>
    <w:rsid w:val="008F4588"/>
    <w:rsid w:val="008F5344"/>
    <w:rsid w:val="008F62DB"/>
    <w:rsid w:val="008F667D"/>
    <w:rsid w:val="008F6793"/>
    <w:rsid w:val="008F68ED"/>
    <w:rsid w:val="008F79DD"/>
    <w:rsid w:val="008F7C52"/>
    <w:rsid w:val="009007D1"/>
    <w:rsid w:val="00900891"/>
    <w:rsid w:val="00900C10"/>
    <w:rsid w:val="00900CC9"/>
    <w:rsid w:val="0090105F"/>
    <w:rsid w:val="00901599"/>
    <w:rsid w:val="00901AE2"/>
    <w:rsid w:val="0090263E"/>
    <w:rsid w:val="009032DF"/>
    <w:rsid w:val="009035CC"/>
    <w:rsid w:val="009039CA"/>
    <w:rsid w:val="00903E2A"/>
    <w:rsid w:val="00904180"/>
    <w:rsid w:val="00904359"/>
    <w:rsid w:val="00904566"/>
    <w:rsid w:val="0090464D"/>
    <w:rsid w:val="00904938"/>
    <w:rsid w:val="00904A66"/>
    <w:rsid w:val="00905319"/>
    <w:rsid w:val="00905C94"/>
    <w:rsid w:val="00906092"/>
    <w:rsid w:val="00906348"/>
    <w:rsid w:val="00906EAA"/>
    <w:rsid w:val="00907526"/>
    <w:rsid w:val="00907CC6"/>
    <w:rsid w:val="00910A1A"/>
    <w:rsid w:val="00910C9C"/>
    <w:rsid w:val="0091215A"/>
    <w:rsid w:val="009136D0"/>
    <w:rsid w:val="00913760"/>
    <w:rsid w:val="00913963"/>
    <w:rsid w:val="0091455C"/>
    <w:rsid w:val="00915100"/>
    <w:rsid w:val="009155F2"/>
    <w:rsid w:val="009163CB"/>
    <w:rsid w:val="009164F6"/>
    <w:rsid w:val="009169E0"/>
    <w:rsid w:val="00916F23"/>
    <w:rsid w:val="00917304"/>
    <w:rsid w:val="00917497"/>
    <w:rsid w:val="00917516"/>
    <w:rsid w:val="009178BA"/>
    <w:rsid w:val="009179F0"/>
    <w:rsid w:val="00917FDF"/>
    <w:rsid w:val="0092047B"/>
    <w:rsid w:val="009207AB"/>
    <w:rsid w:val="00921DD3"/>
    <w:rsid w:val="00922382"/>
    <w:rsid w:val="00922917"/>
    <w:rsid w:val="00923275"/>
    <w:rsid w:val="00923342"/>
    <w:rsid w:val="009235C1"/>
    <w:rsid w:val="00923F81"/>
    <w:rsid w:val="0092473D"/>
    <w:rsid w:val="00926076"/>
    <w:rsid w:val="00926555"/>
    <w:rsid w:val="00926767"/>
    <w:rsid w:val="00926884"/>
    <w:rsid w:val="00927183"/>
    <w:rsid w:val="009276A8"/>
    <w:rsid w:val="0092779E"/>
    <w:rsid w:val="009300AD"/>
    <w:rsid w:val="00930C54"/>
    <w:rsid w:val="009314C7"/>
    <w:rsid w:val="00931BEC"/>
    <w:rsid w:val="00932F42"/>
    <w:rsid w:val="009337A0"/>
    <w:rsid w:val="00933E34"/>
    <w:rsid w:val="00935237"/>
    <w:rsid w:val="0093565E"/>
    <w:rsid w:val="00935720"/>
    <w:rsid w:val="00936A59"/>
    <w:rsid w:val="00937A47"/>
    <w:rsid w:val="009406BD"/>
    <w:rsid w:val="00940E50"/>
    <w:rsid w:val="009412A8"/>
    <w:rsid w:val="00941523"/>
    <w:rsid w:val="00942202"/>
    <w:rsid w:val="0094266A"/>
    <w:rsid w:val="00942673"/>
    <w:rsid w:val="009427A7"/>
    <w:rsid w:val="0094324F"/>
    <w:rsid w:val="0094374C"/>
    <w:rsid w:val="00944065"/>
    <w:rsid w:val="009444DD"/>
    <w:rsid w:val="009447BE"/>
    <w:rsid w:val="00944B49"/>
    <w:rsid w:val="00944F22"/>
    <w:rsid w:val="009458B7"/>
    <w:rsid w:val="00945DD9"/>
    <w:rsid w:val="00947858"/>
    <w:rsid w:val="00950788"/>
    <w:rsid w:val="00951269"/>
    <w:rsid w:val="009520A5"/>
    <w:rsid w:val="00952697"/>
    <w:rsid w:val="009536D1"/>
    <w:rsid w:val="009541B8"/>
    <w:rsid w:val="009547B7"/>
    <w:rsid w:val="0095522A"/>
    <w:rsid w:val="009554DF"/>
    <w:rsid w:val="00955568"/>
    <w:rsid w:val="0095621B"/>
    <w:rsid w:val="00957B4E"/>
    <w:rsid w:val="00960191"/>
    <w:rsid w:val="00960E03"/>
    <w:rsid w:val="0096132A"/>
    <w:rsid w:val="0096303B"/>
    <w:rsid w:val="00964635"/>
    <w:rsid w:val="009650F5"/>
    <w:rsid w:val="009650FB"/>
    <w:rsid w:val="0096651E"/>
    <w:rsid w:val="00966817"/>
    <w:rsid w:val="0096691A"/>
    <w:rsid w:val="00967228"/>
    <w:rsid w:val="009673B9"/>
    <w:rsid w:val="0096741A"/>
    <w:rsid w:val="00967869"/>
    <w:rsid w:val="00967B1A"/>
    <w:rsid w:val="00967E49"/>
    <w:rsid w:val="00970030"/>
    <w:rsid w:val="0097033C"/>
    <w:rsid w:val="009704A7"/>
    <w:rsid w:val="00970DC7"/>
    <w:rsid w:val="0097122C"/>
    <w:rsid w:val="00971D5C"/>
    <w:rsid w:val="00971DE2"/>
    <w:rsid w:val="00972165"/>
    <w:rsid w:val="0097241C"/>
    <w:rsid w:val="00972983"/>
    <w:rsid w:val="00972CDD"/>
    <w:rsid w:val="00972D4F"/>
    <w:rsid w:val="00973BF3"/>
    <w:rsid w:val="009749EA"/>
    <w:rsid w:val="00976040"/>
    <w:rsid w:val="00976156"/>
    <w:rsid w:val="00976920"/>
    <w:rsid w:val="0097694F"/>
    <w:rsid w:val="0097717F"/>
    <w:rsid w:val="00977324"/>
    <w:rsid w:val="00977759"/>
    <w:rsid w:val="00980C61"/>
    <w:rsid w:val="009814E5"/>
    <w:rsid w:val="00981559"/>
    <w:rsid w:val="00981E57"/>
    <w:rsid w:val="009828D8"/>
    <w:rsid w:val="00984435"/>
    <w:rsid w:val="00985EA1"/>
    <w:rsid w:val="00986A45"/>
    <w:rsid w:val="00987C7C"/>
    <w:rsid w:val="00990B7F"/>
    <w:rsid w:val="009918D1"/>
    <w:rsid w:val="00991EEE"/>
    <w:rsid w:val="00992177"/>
    <w:rsid w:val="00992ABE"/>
    <w:rsid w:val="00993D5A"/>
    <w:rsid w:val="00993DFA"/>
    <w:rsid w:val="00994494"/>
    <w:rsid w:val="0099458F"/>
    <w:rsid w:val="0099497F"/>
    <w:rsid w:val="00994BE4"/>
    <w:rsid w:val="00994F33"/>
    <w:rsid w:val="00995940"/>
    <w:rsid w:val="009961A7"/>
    <w:rsid w:val="0099654E"/>
    <w:rsid w:val="00996AFA"/>
    <w:rsid w:val="00996EC6"/>
    <w:rsid w:val="00997545"/>
    <w:rsid w:val="009A15C8"/>
    <w:rsid w:val="009A1BC7"/>
    <w:rsid w:val="009A2354"/>
    <w:rsid w:val="009A2521"/>
    <w:rsid w:val="009A3D89"/>
    <w:rsid w:val="009A4813"/>
    <w:rsid w:val="009A5602"/>
    <w:rsid w:val="009A7311"/>
    <w:rsid w:val="009A798F"/>
    <w:rsid w:val="009A7F7C"/>
    <w:rsid w:val="009B0920"/>
    <w:rsid w:val="009B0FA3"/>
    <w:rsid w:val="009B0FB7"/>
    <w:rsid w:val="009B112D"/>
    <w:rsid w:val="009B1C43"/>
    <w:rsid w:val="009B1E12"/>
    <w:rsid w:val="009B2103"/>
    <w:rsid w:val="009B22A6"/>
    <w:rsid w:val="009B373A"/>
    <w:rsid w:val="009B3B1E"/>
    <w:rsid w:val="009B42F5"/>
    <w:rsid w:val="009B51C1"/>
    <w:rsid w:val="009B5A79"/>
    <w:rsid w:val="009B5AF8"/>
    <w:rsid w:val="009B617F"/>
    <w:rsid w:val="009B6330"/>
    <w:rsid w:val="009B661A"/>
    <w:rsid w:val="009B664A"/>
    <w:rsid w:val="009B6942"/>
    <w:rsid w:val="009B6ED2"/>
    <w:rsid w:val="009B75BF"/>
    <w:rsid w:val="009C073F"/>
    <w:rsid w:val="009C0AB0"/>
    <w:rsid w:val="009C106F"/>
    <w:rsid w:val="009C3671"/>
    <w:rsid w:val="009C3DC0"/>
    <w:rsid w:val="009C542E"/>
    <w:rsid w:val="009C5D91"/>
    <w:rsid w:val="009C64BF"/>
    <w:rsid w:val="009C656E"/>
    <w:rsid w:val="009C67DD"/>
    <w:rsid w:val="009C6971"/>
    <w:rsid w:val="009C6BDA"/>
    <w:rsid w:val="009C7574"/>
    <w:rsid w:val="009C7622"/>
    <w:rsid w:val="009C7DD4"/>
    <w:rsid w:val="009C7EB8"/>
    <w:rsid w:val="009D022A"/>
    <w:rsid w:val="009D2666"/>
    <w:rsid w:val="009D2A7C"/>
    <w:rsid w:val="009D2EAE"/>
    <w:rsid w:val="009D3118"/>
    <w:rsid w:val="009D326E"/>
    <w:rsid w:val="009D35D3"/>
    <w:rsid w:val="009D3749"/>
    <w:rsid w:val="009D3810"/>
    <w:rsid w:val="009D3D19"/>
    <w:rsid w:val="009D3E04"/>
    <w:rsid w:val="009D4585"/>
    <w:rsid w:val="009D4C57"/>
    <w:rsid w:val="009D4D1D"/>
    <w:rsid w:val="009D5811"/>
    <w:rsid w:val="009D5CA0"/>
    <w:rsid w:val="009D62C3"/>
    <w:rsid w:val="009E120A"/>
    <w:rsid w:val="009E1480"/>
    <w:rsid w:val="009E193A"/>
    <w:rsid w:val="009E2A9D"/>
    <w:rsid w:val="009E2DBC"/>
    <w:rsid w:val="009E3B09"/>
    <w:rsid w:val="009E3B83"/>
    <w:rsid w:val="009E3BF1"/>
    <w:rsid w:val="009E3E7B"/>
    <w:rsid w:val="009E439A"/>
    <w:rsid w:val="009E604B"/>
    <w:rsid w:val="009E6412"/>
    <w:rsid w:val="009E6E2F"/>
    <w:rsid w:val="009E6E7D"/>
    <w:rsid w:val="009E6EAA"/>
    <w:rsid w:val="009E7D2B"/>
    <w:rsid w:val="009F05A9"/>
    <w:rsid w:val="009F09E1"/>
    <w:rsid w:val="009F1230"/>
    <w:rsid w:val="009F1A6B"/>
    <w:rsid w:val="009F1A92"/>
    <w:rsid w:val="009F26A9"/>
    <w:rsid w:val="009F278F"/>
    <w:rsid w:val="009F29AB"/>
    <w:rsid w:val="009F2EFC"/>
    <w:rsid w:val="009F4187"/>
    <w:rsid w:val="009F427F"/>
    <w:rsid w:val="009F4A7D"/>
    <w:rsid w:val="009F62A8"/>
    <w:rsid w:val="00A00232"/>
    <w:rsid w:val="00A00825"/>
    <w:rsid w:val="00A008D7"/>
    <w:rsid w:val="00A00F02"/>
    <w:rsid w:val="00A02DCE"/>
    <w:rsid w:val="00A034B4"/>
    <w:rsid w:val="00A04552"/>
    <w:rsid w:val="00A045EC"/>
    <w:rsid w:val="00A04896"/>
    <w:rsid w:val="00A0503D"/>
    <w:rsid w:val="00A050F3"/>
    <w:rsid w:val="00A05563"/>
    <w:rsid w:val="00A0559F"/>
    <w:rsid w:val="00A05782"/>
    <w:rsid w:val="00A057DB"/>
    <w:rsid w:val="00A067E8"/>
    <w:rsid w:val="00A078A4"/>
    <w:rsid w:val="00A07D58"/>
    <w:rsid w:val="00A104A3"/>
    <w:rsid w:val="00A106E1"/>
    <w:rsid w:val="00A10FE3"/>
    <w:rsid w:val="00A11246"/>
    <w:rsid w:val="00A12B5B"/>
    <w:rsid w:val="00A132B9"/>
    <w:rsid w:val="00A13526"/>
    <w:rsid w:val="00A136A3"/>
    <w:rsid w:val="00A1469A"/>
    <w:rsid w:val="00A14772"/>
    <w:rsid w:val="00A147ED"/>
    <w:rsid w:val="00A14B6F"/>
    <w:rsid w:val="00A14E05"/>
    <w:rsid w:val="00A15AF5"/>
    <w:rsid w:val="00A15E68"/>
    <w:rsid w:val="00A16C8D"/>
    <w:rsid w:val="00A16DF9"/>
    <w:rsid w:val="00A17129"/>
    <w:rsid w:val="00A17BC7"/>
    <w:rsid w:val="00A17DFA"/>
    <w:rsid w:val="00A2104C"/>
    <w:rsid w:val="00A213FE"/>
    <w:rsid w:val="00A22A07"/>
    <w:rsid w:val="00A22BFB"/>
    <w:rsid w:val="00A22C9B"/>
    <w:rsid w:val="00A23193"/>
    <w:rsid w:val="00A236A1"/>
    <w:rsid w:val="00A23C2C"/>
    <w:rsid w:val="00A23ED6"/>
    <w:rsid w:val="00A243A3"/>
    <w:rsid w:val="00A24768"/>
    <w:rsid w:val="00A2492A"/>
    <w:rsid w:val="00A249A6"/>
    <w:rsid w:val="00A24DF4"/>
    <w:rsid w:val="00A24EF1"/>
    <w:rsid w:val="00A270F6"/>
    <w:rsid w:val="00A27101"/>
    <w:rsid w:val="00A274E6"/>
    <w:rsid w:val="00A27DAC"/>
    <w:rsid w:val="00A27E35"/>
    <w:rsid w:val="00A30180"/>
    <w:rsid w:val="00A30479"/>
    <w:rsid w:val="00A30632"/>
    <w:rsid w:val="00A32403"/>
    <w:rsid w:val="00A325DE"/>
    <w:rsid w:val="00A328AE"/>
    <w:rsid w:val="00A34FDF"/>
    <w:rsid w:val="00A35F8D"/>
    <w:rsid w:val="00A36CCF"/>
    <w:rsid w:val="00A379B2"/>
    <w:rsid w:val="00A400EB"/>
    <w:rsid w:val="00A40AE7"/>
    <w:rsid w:val="00A41618"/>
    <w:rsid w:val="00A42A28"/>
    <w:rsid w:val="00A42C03"/>
    <w:rsid w:val="00A43415"/>
    <w:rsid w:val="00A43C02"/>
    <w:rsid w:val="00A44170"/>
    <w:rsid w:val="00A444F5"/>
    <w:rsid w:val="00A450AD"/>
    <w:rsid w:val="00A45226"/>
    <w:rsid w:val="00A46017"/>
    <w:rsid w:val="00A46029"/>
    <w:rsid w:val="00A4617F"/>
    <w:rsid w:val="00A463A4"/>
    <w:rsid w:val="00A46B60"/>
    <w:rsid w:val="00A477C5"/>
    <w:rsid w:val="00A47AB3"/>
    <w:rsid w:val="00A47E73"/>
    <w:rsid w:val="00A51662"/>
    <w:rsid w:val="00A51743"/>
    <w:rsid w:val="00A519C1"/>
    <w:rsid w:val="00A51CC8"/>
    <w:rsid w:val="00A52B19"/>
    <w:rsid w:val="00A52DAD"/>
    <w:rsid w:val="00A5359E"/>
    <w:rsid w:val="00A53CB3"/>
    <w:rsid w:val="00A54085"/>
    <w:rsid w:val="00A5409F"/>
    <w:rsid w:val="00A5450B"/>
    <w:rsid w:val="00A54F05"/>
    <w:rsid w:val="00A55C28"/>
    <w:rsid w:val="00A5633E"/>
    <w:rsid w:val="00A563E3"/>
    <w:rsid w:val="00A565E6"/>
    <w:rsid w:val="00A566A3"/>
    <w:rsid w:val="00A60733"/>
    <w:rsid w:val="00A609A1"/>
    <w:rsid w:val="00A6193F"/>
    <w:rsid w:val="00A61B12"/>
    <w:rsid w:val="00A62957"/>
    <w:rsid w:val="00A632E5"/>
    <w:rsid w:val="00A6409F"/>
    <w:rsid w:val="00A6435E"/>
    <w:rsid w:val="00A645D4"/>
    <w:rsid w:val="00A64624"/>
    <w:rsid w:val="00A65578"/>
    <w:rsid w:val="00A67022"/>
    <w:rsid w:val="00A67102"/>
    <w:rsid w:val="00A72B2A"/>
    <w:rsid w:val="00A73142"/>
    <w:rsid w:val="00A731A8"/>
    <w:rsid w:val="00A74AD1"/>
    <w:rsid w:val="00A77253"/>
    <w:rsid w:val="00A77846"/>
    <w:rsid w:val="00A8082D"/>
    <w:rsid w:val="00A81B93"/>
    <w:rsid w:val="00A81BCE"/>
    <w:rsid w:val="00A81E6A"/>
    <w:rsid w:val="00A81EFE"/>
    <w:rsid w:val="00A82F46"/>
    <w:rsid w:val="00A84240"/>
    <w:rsid w:val="00A845A5"/>
    <w:rsid w:val="00A84E13"/>
    <w:rsid w:val="00A855B8"/>
    <w:rsid w:val="00A859E0"/>
    <w:rsid w:val="00A8610F"/>
    <w:rsid w:val="00A862C3"/>
    <w:rsid w:val="00A86A50"/>
    <w:rsid w:val="00A86F10"/>
    <w:rsid w:val="00A90658"/>
    <w:rsid w:val="00A9194B"/>
    <w:rsid w:val="00A92E1A"/>
    <w:rsid w:val="00A92E6A"/>
    <w:rsid w:val="00A938C3"/>
    <w:rsid w:val="00A93EAE"/>
    <w:rsid w:val="00A94F01"/>
    <w:rsid w:val="00A95062"/>
    <w:rsid w:val="00A95071"/>
    <w:rsid w:val="00A950B3"/>
    <w:rsid w:val="00A95112"/>
    <w:rsid w:val="00A9607B"/>
    <w:rsid w:val="00A965ED"/>
    <w:rsid w:val="00A9697F"/>
    <w:rsid w:val="00A96D51"/>
    <w:rsid w:val="00A96D75"/>
    <w:rsid w:val="00A97233"/>
    <w:rsid w:val="00A974B9"/>
    <w:rsid w:val="00A9758E"/>
    <w:rsid w:val="00A97810"/>
    <w:rsid w:val="00A97822"/>
    <w:rsid w:val="00A97876"/>
    <w:rsid w:val="00A97C4A"/>
    <w:rsid w:val="00A97DA7"/>
    <w:rsid w:val="00AA02E8"/>
    <w:rsid w:val="00AA031C"/>
    <w:rsid w:val="00AA0359"/>
    <w:rsid w:val="00AA04EF"/>
    <w:rsid w:val="00AA0552"/>
    <w:rsid w:val="00AA07A0"/>
    <w:rsid w:val="00AA0DCA"/>
    <w:rsid w:val="00AA1119"/>
    <w:rsid w:val="00AA2A67"/>
    <w:rsid w:val="00AA2DBA"/>
    <w:rsid w:val="00AA4129"/>
    <w:rsid w:val="00AA414A"/>
    <w:rsid w:val="00AA5005"/>
    <w:rsid w:val="00AA5213"/>
    <w:rsid w:val="00AA52A7"/>
    <w:rsid w:val="00AA54AC"/>
    <w:rsid w:val="00AA6711"/>
    <w:rsid w:val="00AA6A52"/>
    <w:rsid w:val="00AA7717"/>
    <w:rsid w:val="00AA7789"/>
    <w:rsid w:val="00AB0DC4"/>
    <w:rsid w:val="00AB1A94"/>
    <w:rsid w:val="00AB1E26"/>
    <w:rsid w:val="00AB2356"/>
    <w:rsid w:val="00AB236C"/>
    <w:rsid w:val="00AB2DA9"/>
    <w:rsid w:val="00AB30BF"/>
    <w:rsid w:val="00AB30FC"/>
    <w:rsid w:val="00AB324A"/>
    <w:rsid w:val="00AB456D"/>
    <w:rsid w:val="00AB45DF"/>
    <w:rsid w:val="00AB4CFE"/>
    <w:rsid w:val="00AB4DE3"/>
    <w:rsid w:val="00AB53B7"/>
    <w:rsid w:val="00AB6C95"/>
    <w:rsid w:val="00AB7076"/>
    <w:rsid w:val="00AB7673"/>
    <w:rsid w:val="00AB7D24"/>
    <w:rsid w:val="00AC0713"/>
    <w:rsid w:val="00AC09F5"/>
    <w:rsid w:val="00AC13D5"/>
    <w:rsid w:val="00AC1DC3"/>
    <w:rsid w:val="00AC2F75"/>
    <w:rsid w:val="00AC3050"/>
    <w:rsid w:val="00AC310A"/>
    <w:rsid w:val="00AC3673"/>
    <w:rsid w:val="00AC3828"/>
    <w:rsid w:val="00AC3CE8"/>
    <w:rsid w:val="00AC4088"/>
    <w:rsid w:val="00AC4297"/>
    <w:rsid w:val="00AC4B54"/>
    <w:rsid w:val="00AC4B70"/>
    <w:rsid w:val="00AC5156"/>
    <w:rsid w:val="00AC6BB4"/>
    <w:rsid w:val="00AC7013"/>
    <w:rsid w:val="00AC7271"/>
    <w:rsid w:val="00AC73EC"/>
    <w:rsid w:val="00AD0379"/>
    <w:rsid w:val="00AD081F"/>
    <w:rsid w:val="00AD16A2"/>
    <w:rsid w:val="00AD1908"/>
    <w:rsid w:val="00AD1EE7"/>
    <w:rsid w:val="00AD2178"/>
    <w:rsid w:val="00AD2567"/>
    <w:rsid w:val="00AD2C99"/>
    <w:rsid w:val="00AD3ADD"/>
    <w:rsid w:val="00AD3B39"/>
    <w:rsid w:val="00AD4325"/>
    <w:rsid w:val="00AD5CC3"/>
    <w:rsid w:val="00AD60AE"/>
    <w:rsid w:val="00AD64F4"/>
    <w:rsid w:val="00AD6698"/>
    <w:rsid w:val="00AD6B27"/>
    <w:rsid w:val="00AD6D9C"/>
    <w:rsid w:val="00AD733F"/>
    <w:rsid w:val="00AD7500"/>
    <w:rsid w:val="00AD7C9E"/>
    <w:rsid w:val="00AE07B4"/>
    <w:rsid w:val="00AE0EAD"/>
    <w:rsid w:val="00AE15CF"/>
    <w:rsid w:val="00AE2618"/>
    <w:rsid w:val="00AE2C6B"/>
    <w:rsid w:val="00AE2DE2"/>
    <w:rsid w:val="00AE34DC"/>
    <w:rsid w:val="00AE36CE"/>
    <w:rsid w:val="00AE3E3F"/>
    <w:rsid w:val="00AE44EB"/>
    <w:rsid w:val="00AE5342"/>
    <w:rsid w:val="00AE54B1"/>
    <w:rsid w:val="00AE59DE"/>
    <w:rsid w:val="00AE6E64"/>
    <w:rsid w:val="00AF06CA"/>
    <w:rsid w:val="00AF171F"/>
    <w:rsid w:val="00AF1CF7"/>
    <w:rsid w:val="00AF218E"/>
    <w:rsid w:val="00AF24D8"/>
    <w:rsid w:val="00AF27A2"/>
    <w:rsid w:val="00AF322C"/>
    <w:rsid w:val="00AF3682"/>
    <w:rsid w:val="00AF53F8"/>
    <w:rsid w:val="00AF57B5"/>
    <w:rsid w:val="00AF63EF"/>
    <w:rsid w:val="00AF6AF0"/>
    <w:rsid w:val="00AF7387"/>
    <w:rsid w:val="00AF7755"/>
    <w:rsid w:val="00B010F0"/>
    <w:rsid w:val="00B012F2"/>
    <w:rsid w:val="00B01559"/>
    <w:rsid w:val="00B0269F"/>
    <w:rsid w:val="00B02C98"/>
    <w:rsid w:val="00B02CD8"/>
    <w:rsid w:val="00B0326A"/>
    <w:rsid w:val="00B03688"/>
    <w:rsid w:val="00B04AC2"/>
    <w:rsid w:val="00B050B2"/>
    <w:rsid w:val="00B05163"/>
    <w:rsid w:val="00B05AE8"/>
    <w:rsid w:val="00B07CB0"/>
    <w:rsid w:val="00B07D94"/>
    <w:rsid w:val="00B10504"/>
    <w:rsid w:val="00B10555"/>
    <w:rsid w:val="00B11E19"/>
    <w:rsid w:val="00B12D7C"/>
    <w:rsid w:val="00B13790"/>
    <w:rsid w:val="00B1379C"/>
    <w:rsid w:val="00B13CD2"/>
    <w:rsid w:val="00B14FDA"/>
    <w:rsid w:val="00B160A2"/>
    <w:rsid w:val="00B163E0"/>
    <w:rsid w:val="00B17615"/>
    <w:rsid w:val="00B17713"/>
    <w:rsid w:val="00B17736"/>
    <w:rsid w:val="00B178F6"/>
    <w:rsid w:val="00B204A8"/>
    <w:rsid w:val="00B2082A"/>
    <w:rsid w:val="00B209E7"/>
    <w:rsid w:val="00B20BEA"/>
    <w:rsid w:val="00B20CF0"/>
    <w:rsid w:val="00B20FBA"/>
    <w:rsid w:val="00B21F0D"/>
    <w:rsid w:val="00B22272"/>
    <w:rsid w:val="00B22906"/>
    <w:rsid w:val="00B22A35"/>
    <w:rsid w:val="00B22C06"/>
    <w:rsid w:val="00B22D51"/>
    <w:rsid w:val="00B22FCD"/>
    <w:rsid w:val="00B236B7"/>
    <w:rsid w:val="00B24504"/>
    <w:rsid w:val="00B24CE0"/>
    <w:rsid w:val="00B253E5"/>
    <w:rsid w:val="00B270F8"/>
    <w:rsid w:val="00B27A82"/>
    <w:rsid w:val="00B27B39"/>
    <w:rsid w:val="00B27D22"/>
    <w:rsid w:val="00B308DB"/>
    <w:rsid w:val="00B309B3"/>
    <w:rsid w:val="00B30B37"/>
    <w:rsid w:val="00B30B6F"/>
    <w:rsid w:val="00B30D29"/>
    <w:rsid w:val="00B30D7E"/>
    <w:rsid w:val="00B30E5B"/>
    <w:rsid w:val="00B3122F"/>
    <w:rsid w:val="00B315A6"/>
    <w:rsid w:val="00B318AD"/>
    <w:rsid w:val="00B325DE"/>
    <w:rsid w:val="00B32C5A"/>
    <w:rsid w:val="00B33AB4"/>
    <w:rsid w:val="00B34AFA"/>
    <w:rsid w:val="00B3553B"/>
    <w:rsid w:val="00B35DA0"/>
    <w:rsid w:val="00B36119"/>
    <w:rsid w:val="00B3621F"/>
    <w:rsid w:val="00B365F5"/>
    <w:rsid w:val="00B37687"/>
    <w:rsid w:val="00B40000"/>
    <w:rsid w:val="00B403EA"/>
    <w:rsid w:val="00B41091"/>
    <w:rsid w:val="00B41290"/>
    <w:rsid w:val="00B418A0"/>
    <w:rsid w:val="00B41BE0"/>
    <w:rsid w:val="00B427F4"/>
    <w:rsid w:val="00B42ABE"/>
    <w:rsid w:val="00B42CEE"/>
    <w:rsid w:val="00B43AEE"/>
    <w:rsid w:val="00B43F0D"/>
    <w:rsid w:val="00B448B5"/>
    <w:rsid w:val="00B452D6"/>
    <w:rsid w:val="00B459F4"/>
    <w:rsid w:val="00B46263"/>
    <w:rsid w:val="00B462E0"/>
    <w:rsid w:val="00B46EB5"/>
    <w:rsid w:val="00B46FA1"/>
    <w:rsid w:val="00B47021"/>
    <w:rsid w:val="00B47335"/>
    <w:rsid w:val="00B47614"/>
    <w:rsid w:val="00B50133"/>
    <w:rsid w:val="00B50472"/>
    <w:rsid w:val="00B5080A"/>
    <w:rsid w:val="00B50F1B"/>
    <w:rsid w:val="00B50F3B"/>
    <w:rsid w:val="00B50F79"/>
    <w:rsid w:val="00B51170"/>
    <w:rsid w:val="00B5188B"/>
    <w:rsid w:val="00B520A9"/>
    <w:rsid w:val="00B52258"/>
    <w:rsid w:val="00B5259E"/>
    <w:rsid w:val="00B528CD"/>
    <w:rsid w:val="00B52C89"/>
    <w:rsid w:val="00B53708"/>
    <w:rsid w:val="00B53F83"/>
    <w:rsid w:val="00B54B7D"/>
    <w:rsid w:val="00B551CC"/>
    <w:rsid w:val="00B56CDA"/>
    <w:rsid w:val="00B601C9"/>
    <w:rsid w:val="00B6071F"/>
    <w:rsid w:val="00B60943"/>
    <w:rsid w:val="00B60A1A"/>
    <w:rsid w:val="00B6158C"/>
    <w:rsid w:val="00B6186D"/>
    <w:rsid w:val="00B61EB5"/>
    <w:rsid w:val="00B62197"/>
    <w:rsid w:val="00B62551"/>
    <w:rsid w:val="00B62612"/>
    <w:rsid w:val="00B63DA7"/>
    <w:rsid w:val="00B645CD"/>
    <w:rsid w:val="00B64819"/>
    <w:rsid w:val="00B65105"/>
    <w:rsid w:val="00B65818"/>
    <w:rsid w:val="00B672BA"/>
    <w:rsid w:val="00B67AF9"/>
    <w:rsid w:val="00B67BB5"/>
    <w:rsid w:val="00B67D7C"/>
    <w:rsid w:val="00B70359"/>
    <w:rsid w:val="00B7061E"/>
    <w:rsid w:val="00B71279"/>
    <w:rsid w:val="00B7171B"/>
    <w:rsid w:val="00B75904"/>
    <w:rsid w:val="00B75930"/>
    <w:rsid w:val="00B75946"/>
    <w:rsid w:val="00B75D8C"/>
    <w:rsid w:val="00B77C8A"/>
    <w:rsid w:val="00B81E27"/>
    <w:rsid w:val="00B828A0"/>
    <w:rsid w:val="00B82B7A"/>
    <w:rsid w:val="00B82D84"/>
    <w:rsid w:val="00B82E3E"/>
    <w:rsid w:val="00B83B32"/>
    <w:rsid w:val="00B840F6"/>
    <w:rsid w:val="00B84524"/>
    <w:rsid w:val="00B8537A"/>
    <w:rsid w:val="00B854B8"/>
    <w:rsid w:val="00B854C5"/>
    <w:rsid w:val="00B8558C"/>
    <w:rsid w:val="00B858B7"/>
    <w:rsid w:val="00B8612B"/>
    <w:rsid w:val="00B861F6"/>
    <w:rsid w:val="00B863C4"/>
    <w:rsid w:val="00B86C73"/>
    <w:rsid w:val="00B87352"/>
    <w:rsid w:val="00B87BDC"/>
    <w:rsid w:val="00B87D37"/>
    <w:rsid w:val="00B90C6D"/>
    <w:rsid w:val="00B9168F"/>
    <w:rsid w:val="00B91E7A"/>
    <w:rsid w:val="00B91ED1"/>
    <w:rsid w:val="00B9396A"/>
    <w:rsid w:val="00B94187"/>
    <w:rsid w:val="00B946A1"/>
    <w:rsid w:val="00B95268"/>
    <w:rsid w:val="00B95933"/>
    <w:rsid w:val="00B96896"/>
    <w:rsid w:val="00B97867"/>
    <w:rsid w:val="00BA0A0C"/>
    <w:rsid w:val="00BA152D"/>
    <w:rsid w:val="00BA1D3C"/>
    <w:rsid w:val="00BA1ED8"/>
    <w:rsid w:val="00BA29A8"/>
    <w:rsid w:val="00BA2B0D"/>
    <w:rsid w:val="00BA2BB5"/>
    <w:rsid w:val="00BA38A0"/>
    <w:rsid w:val="00BA5827"/>
    <w:rsid w:val="00BA6542"/>
    <w:rsid w:val="00BA7ED1"/>
    <w:rsid w:val="00BB0891"/>
    <w:rsid w:val="00BB0E66"/>
    <w:rsid w:val="00BB1572"/>
    <w:rsid w:val="00BB32FA"/>
    <w:rsid w:val="00BB47BF"/>
    <w:rsid w:val="00BB59D3"/>
    <w:rsid w:val="00BB62AE"/>
    <w:rsid w:val="00BB77EE"/>
    <w:rsid w:val="00BB7DA8"/>
    <w:rsid w:val="00BB7DBF"/>
    <w:rsid w:val="00BC00D1"/>
    <w:rsid w:val="00BC066A"/>
    <w:rsid w:val="00BC0E8B"/>
    <w:rsid w:val="00BC1566"/>
    <w:rsid w:val="00BC1DBF"/>
    <w:rsid w:val="00BC20A0"/>
    <w:rsid w:val="00BC2766"/>
    <w:rsid w:val="00BC2CE2"/>
    <w:rsid w:val="00BC3500"/>
    <w:rsid w:val="00BC3720"/>
    <w:rsid w:val="00BC3BC3"/>
    <w:rsid w:val="00BC4467"/>
    <w:rsid w:val="00BC528D"/>
    <w:rsid w:val="00BC65C7"/>
    <w:rsid w:val="00BC6E65"/>
    <w:rsid w:val="00BC6FAC"/>
    <w:rsid w:val="00BC74C8"/>
    <w:rsid w:val="00BC7D55"/>
    <w:rsid w:val="00BD01E7"/>
    <w:rsid w:val="00BD0541"/>
    <w:rsid w:val="00BD0FA6"/>
    <w:rsid w:val="00BD24F0"/>
    <w:rsid w:val="00BD2887"/>
    <w:rsid w:val="00BD2BAE"/>
    <w:rsid w:val="00BD345E"/>
    <w:rsid w:val="00BD3537"/>
    <w:rsid w:val="00BD3D6A"/>
    <w:rsid w:val="00BD3DDA"/>
    <w:rsid w:val="00BD4695"/>
    <w:rsid w:val="00BD478C"/>
    <w:rsid w:val="00BD4E85"/>
    <w:rsid w:val="00BD56E8"/>
    <w:rsid w:val="00BD64AA"/>
    <w:rsid w:val="00BD6540"/>
    <w:rsid w:val="00BD6ED8"/>
    <w:rsid w:val="00BD75E8"/>
    <w:rsid w:val="00BD7A6A"/>
    <w:rsid w:val="00BD7DBB"/>
    <w:rsid w:val="00BE048E"/>
    <w:rsid w:val="00BE0D10"/>
    <w:rsid w:val="00BE0F2B"/>
    <w:rsid w:val="00BE1CB1"/>
    <w:rsid w:val="00BE1E40"/>
    <w:rsid w:val="00BE2376"/>
    <w:rsid w:val="00BE2C69"/>
    <w:rsid w:val="00BE3C61"/>
    <w:rsid w:val="00BE40C9"/>
    <w:rsid w:val="00BE45B6"/>
    <w:rsid w:val="00BE4F7A"/>
    <w:rsid w:val="00BE69C4"/>
    <w:rsid w:val="00BE6B10"/>
    <w:rsid w:val="00BE73A1"/>
    <w:rsid w:val="00BE746B"/>
    <w:rsid w:val="00BE7B68"/>
    <w:rsid w:val="00BE7ED5"/>
    <w:rsid w:val="00BF0244"/>
    <w:rsid w:val="00BF03EB"/>
    <w:rsid w:val="00BF090A"/>
    <w:rsid w:val="00BF163E"/>
    <w:rsid w:val="00BF29FE"/>
    <w:rsid w:val="00BF31BF"/>
    <w:rsid w:val="00BF39D6"/>
    <w:rsid w:val="00BF3D32"/>
    <w:rsid w:val="00BF488A"/>
    <w:rsid w:val="00BF52DD"/>
    <w:rsid w:val="00BF5EED"/>
    <w:rsid w:val="00BF6040"/>
    <w:rsid w:val="00BF63F8"/>
    <w:rsid w:val="00BF68DF"/>
    <w:rsid w:val="00BF6B28"/>
    <w:rsid w:val="00BF774E"/>
    <w:rsid w:val="00BF79DC"/>
    <w:rsid w:val="00BF7B32"/>
    <w:rsid w:val="00C0090E"/>
    <w:rsid w:val="00C024B8"/>
    <w:rsid w:val="00C029CA"/>
    <w:rsid w:val="00C030D7"/>
    <w:rsid w:val="00C037F8"/>
    <w:rsid w:val="00C04CD1"/>
    <w:rsid w:val="00C04D62"/>
    <w:rsid w:val="00C05F5E"/>
    <w:rsid w:val="00C06658"/>
    <w:rsid w:val="00C068AF"/>
    <w:rsid w:val="00C07484"/>
    <w:rsid w:val="00C075BD"/>
    <w:rsid w:val="00C10B99"/>
    <w:rsid w:val="00C10FF4"/>
    <w:rsid w:val="00C11196"/>
    <w:rsid w:val="00C11520"/>
    <w:rsid w:val="00C118AB"/>
    <w:rsid w:val="00C11BC4"/>
    <w:rsid w:val="00C11E7E"/>
    <w:rsid w:val="00C12079"/>
    <w:rsid w:val="00C12A99"/>
    <w:rsid w:val="00C12BCB"/>
    <w:rsid w:val="00C13EE8"/>
    <w:rsid w:val="00C14714"/>
    <w:rsid w:val="00C14B3F"/>
    <w:rsid w:val="00C14C32"/>
    <w:rsid w:val="00C1566C"/>
    <w:rsid w:val="00C15DD2"/>
    <w:rsid w:val="00C17063"/>
    <w:rsid w:val="00C20145"/>
    <w:rsid w:val="00C208E1"/>
    <w:rsid w:val="00C20D2D"/>
    <w:rsid w:val="00C213C3"/>
    <w:rsid w:val="00C218D7"/>
    <w:rsid w:val="00C21CDF"/>
    <w:rsid w:val="00C2217E"/>
    <w:rsid w:val="00C22B3D"/>
    <w:rsid w:val="00C22BC4"/>
    <w:rsid w:val="00C22DD6"/>
    <w:rsid w:val="00C22DEE"/>
    <w:rsid w:val="00C2339D"/>
    <w:rsid w:val="00C23500"/>
    <w:rsid w:val="00C238E0"/>
    <w:rsid w:val="00C23EAC"/>
    <w:rsid w:val="00C23F65"/>
    <w:rsid w:val="00C254F6"/>
    <w:rsid w:val="00C255FB"/>
    <w:rsid w:val="00C25BAC"/>
    <w:rsid w:val="00C25E0F"/>
    <w:rsid w:val="00C27344"/>
    <w:rsid w:val="00C279CF"/>
    <w:rsid w:val="00C30AE9"/>
    <w:rsid w:val="00C30F60"/>
    <w:rsid w:val="00C315D6"/>
    <w:rsid w:val="00C32B91"/>
    <w:rsid w:val="00C32BCA"/>
    <w:rsid w:val="00C339D4"/>
    <w:rsid w:val="00C33F8F"/>
    <w:rsid w:val="00C3470B"/>
    <w:rsid w:val="00C34777"/>
    <w:rsid w:val="00C34837"/>
    <w:rsid w:val="00C35352"/>
    <w:rsid w:val="00C356E8"/>
    <w:rsid w:val="00C361F8"/>
    <w:rsid w:val="00C36885"/>
    <w:rsid w:val="00C37265"/>
    <w:rsid w:val="00C40287"/>
    <w:rsid w:val="00C407DE"/>
    <w:rsid w:val="00C40E55"/>
    <w:rsid w:val="00C416A1"/>
    <w:rsid w:val="00C41AF6"/>
    <w:rsid w:val="00C41D0C"/>
    <w:rsid w:val="00C41E7D"/>
    <w:rsid w:val="00C4237C"/>
    <w:rsid w:val="00C425A3"/>
    <w:rsid w:val="00C42893"/>
    <w:rsid w:val="00C42ACA"/>
    <w:rsid w:val="00C42F59"/>
    <w:rsid w:val="00C4459B"/>
    <w:rsid w:val="00C44B07"/>
    <w:rsid w:val="00C4584F"/>
    <w:rsid w:val="00C46146"/>
    <w:rsid w:val="00C4683B"/>
    <w:rsid w:val="00C47304"/>
    <w:rsid w:val="00C4745A"/>
    <w:rsid w:val="00C47D2E"/>
    <w:rsid w:val="00C5031E"/>
    <w:rsid w:val="00C50D1D"/>
    <w:rsid w:val="00C51949"/>
    <w:rsid w:val="00C51FDF"/>
    <w:rsid w:val="00C52329"/>
    <w:rsid w:val="00C531C6"/>
    <w:rsid w:val="00C53981"/>
    <w:rsid w:val="00C562CD"/>
    <w:rsid w:val="00C5773A"/>
    <w:rsid w:val="00C601AC"/>
    <w:rsid w:val="00C6022A"/>
    <w:rsid w:val="00C618E4"/>
    <w:rsid w:val="00C6291A"/>
    <w:rsid w:val="00C629EB"/>
    <w:rsid w:val="00C62FAF"/>
    <w:rsid w:val="00C637AE"/>
    <w:rsid w:val="00C64FD5"/>
    <w:rsid w:val="00C65A52"/>
    <w:rsid w:val="00C661A9"/>
    <w:rsid w:val="00C6685D"/>
    <w:rsid w:val="00C669DB"/>
    <w:rsid w:val="00C66EAD"/>
    <w:rsid w:val="00C670DF"/>
    <w:rsid w:val="00C703C9"/>
    <w:rsid w:val="00C7061D"/>
    <w:rsid w:val="00C70806"/>
    <w:rsid w:val="00C70ED6"/>
    <w:rsid w:val="00C70F15"/>
    <w:rsid w:val="00C7266B"/>
    <w:rsid w:val="00C72720"/>
    <w:rsid w:val="00C72C70"/>
    <w:rsid w:val="00C731C6"/>
    <w:rsid w:val="00C73901"/>
    <w:rsid w:val="00C740A4"/>
    <w:rsid w:val="00C74377"/>
    <w:rsid w:val="00C744F4"/>
    <w:rsid w:val="00C74F18"/>
    <w:rsid w:val="00C7545F"/>
    <w:rsid w:val="00C75CE7"/>
    <w:rsid w:val="00C76C57"/>
    <w:rsid w:val="00C77C4F"/>
    <w:rsid w:val="00C77E50"/>
    <w:rsid w:val="00C806CA"/>
    <w:rsid w:val="00C82F33"/>
    <w:rsid w:val="00C8397D"/>
    <w:rsid w:val="00C83AC8"/>
    <w:rsid w:val="00C83D6A"/>
    <w:rsid w:val="00C8424A"/>
    <w:rsid w:val="00C85D30"/>
    <w:rsid w:val="00C85EB9"/>
    <w:rsid w:val="00C866B3"/>
    <w:rsid w:val="00C874CF"/>
    <w:rsid w:val="00C90B5C"/>
    <w:rsid w:val="00C91093"/>
    <w:rsid w:val="00C91C6C"/>
    <w:rsid w:val="00C91CCF"/>
    <w:rsid w:val="00C91DFF"/>
    <w:rsid w:val="00C91E83"/>
    <w:rsid w:val="00C92026"/>
    <w:rsid w:val="00C920C7"/>
    <w:rsid w:val="00C92694"/>
    <w:rsid w:val="00C93617"/>
    <w:rsid w:val="00C93D65"/>
    <w:rsid w:val="00C94DB6"/>
    <w:rsid w:val="00C9516C"/>
    <w:rsid w:val="00C951A5"/>
    <w:rsid w:val="00C95571"/>
    <w:rsid w:val="00C96D80"/>
    <w:rsid w:val="00C97E85"/>
    <w:rsid w:val="00CA1DD0"/>
    <w:rsid w:val="00CA22CE"/>
    <w:rsid w:val="00CA3079"/>
    <w:rsid w:val="00CA31A7"/>
    <w:rsid w:val="00CA3310"/>
    <w:rsid w:val="00CA41FA"/>
    <w:rsid w:val="00CA4F5F"/>
    <w:rsid w:val="00CA5B69"/>
    <w:rsid w:val="00CA6146"/>
    <w:rsid w:val="00CA6C09"/>
    <w:rsid w:val="00CA70D1"/>
    <w:rsid w:val="00CB0CE3"/>
    <w:rsid w:val="00CB20A5"/>
    <w:rsid w:val="00CB22EB"/>
    <w:rsid w:val="00CB2770"/>
    <w:rsid w:val="00CB3C5B"/>
    <w:rsid w:val="00CB4269"/>
    <w:rsid w:val="00CB5EDA"/>
    <w:rsid w:val="00CB62A9"/>
    <w:rsid w:val="00CB64F2"/>
    <w:rsid w:val="00CB6858"/>
    <w:rsid w:val="00CB7401"/>
    <w:rsid w:val="00CC0D97"/>
    <w:rsid w:val="00CC11A8"/>
    <w:rsid w:val="00CC19F5"/>
    <w:rsid w:val="00CC22D3"/>
    <w:rsid w:val="00CC37D1"/>
    <w:rsid w:val="00CC389A"/>
    <w:rsid w:val="00CC3949"/>
    <w:rsid w:val="00CC3D8C"/>
    <w:rsid w:val="00CC3DAC"/>
    <w:rsid w:val="00CC3E62"/>
    <w:rsid w:val="00CC455D"/>
    <w:rsid w:val="00CC5C19"/>
    <w:rsid w:val="00CC5D75"/>
    <w:rsid w:val="00CC6214"/>
    <w:rsid w:val="00CC6F18"/>
    <w:rsid w:val="00CD00B5"/>
    <w:rsid w:val="00CD0270"/>
    <w:rsid w:val="00CD0AA1"/>
    <w:rsid w:val="00CD0BD5"/>
    <w:rsid w:val="00CD1386"/>
    <w:rsid w:val="00CD1B62"/>
    <w:rsid w:val="00CD1EC6"/>
    <w:rsid w:val="00CD3A10"/>
    <w:rsid w:val="00CD3AED"/>
    <w:rsid w:val="00CD4B3A"/>
    <w:rsid w:val="00CD61C3"/>
    <w:rsid w:val="00CD6D82"/>
    <w:rsid w:val="00CD6FF6"/>
    <w:rsid w:val="00CE054F"/>
    <w:rsid w:val="00CE1E00"/>
    <w:rsid w:val="00CE1FFE"/>
    <w:rsid w:val="00CE2221"/>
    <w:rsid w:val="00CE31CA"/>
    <w:rsid w:val="00CE33F4"/>
    <w:rsid w:val="00CE43BF"/>
    <w:rsid w:val="00CE45A5"/>
    <w:rsid w:val="00CE45BA"/>
    <w:rsid w:val="00CE4A9E"/>
    <w:rsid w:val="00CE4B8F"/>
    <w:rsid w:val="00CE502B"/>
    <w:rsid w:val="00CE5997"/>
    <w:rsid w:val="00CE5F89"/>
    <w:rsid w:val="00CE6218"/>
    <w:rsid w:val="00CE6E88"/>
    <w:rsid w:val="00CE7B46"/>
    <w:rsid w:val="00CF07D1"/>
    <w:rsid w:val="00CF08D8"/>
    <w:rsid w:val="00CF097F"/>
    <w:rsid w:val="00CF0FA5"/>
    <w:rsid w:val="00CF2447"/>
    <w:rsid w:val="00CF30F5"/>
    <w:rsid w:val="00CF3A9B"/>
    <w:rsid w:val="00CF4C75"/>
    <w:rsid w:val="00CF4D3B"/>
    <w:rsid w:val="00CF4ED8"/>
    <w:rsid w:val="00CF5ED3"/>
    <w:rsid w:val="00CF6037"/>
    <w:rsid w:val="00CF6072"/>
    <w:rsid w:val="00CF61FD"/>
    <w:rsid w:val="00CF6733"/>
    <w:rsid w:val="00CF67E4"/>
    <w:rsid w:val="00CF6CB5"/>
    <w:rsid w:val="00CF6CC8"/>
    <w:rsid w:val="00CF75A2"/>
    <w:rsid w:val="00D013E9"/>
    <w:rsid w:val="00D01DE0"/>
    <w:rsid w:val="00D01FFA"/>
    <w:rsid w:val="00D025E2"/>
    <w:rsid w:val="00D03061"/>
    <w:rsid w:val="00D03275"/>
    <w:rsid w:val="00D0422D"/>
    <w:rsid w:val="00D04CBA"/>
    <w:rsid w:val="00D051C8"/>
    <w:rsid w:val="00D0521D"/>
    <w:rsid w:val="00D07C14"/>
    <w:rsid w:val="00D1017F"/>
    <w:rsid w:val="00D106DA"/>
    <w:rsid w:val="00D10C5E"/>
    <w:rsid w:val="00D10CDE"/>
    <w:rsid w:val="00D11ADA"/>
    <w:rsid w:val="00D12153"/>
    <w:rsid w:val="00D122C0"/>
    <w:rsid w:val="00D12C30"/>
    <w:rsid w:val="00D12FC3"/>
    <w:rsid w:val="00D13F53"/>
    <w:rsid w:val="00D14256"/>
    <w:rsid w:val="00D14CC9"/>
    <w:rsid w:val="00D14DD8"/>
    <w:rsid w:val="00D15ED5"/>
    <w:rsid w:val="00D15F02"/>
    <w:rsid w:val="00D163ED"/>
    <w:rsid w:val="00D16761"/>
    <w:rsid w:val="00D16BA4"/>
    <w:rsid w:val="00D16F9C"/>
    <w:rsid w:val="00D17464"/>
    <w:rsid w:val="00D17AF2"/>
    <w:rsid w:val="00D17EE0"/>
    <w:rsid w:val="00D20598"/>
    <w:rsid w:val="00D20A11"/>
    <w:rsid w:val="00D20BAA"/>
    <w:rsid w:val="00D21025"/>
    <w:rsid w:val="00D21764"/>
    <w:rsid w:val="00D22299"/>
    <w:rsid w:val="00D222F6"/>
    <w:rsid w:val="00D223AF"/>
    <w:rsid w:val="00D23286"/>
    <w:rsid w:val="00D23904"/>
    <w:rsid w:val="00D24314"/>
    <w:rsid w:val="00D24532"/>
    <w:rsid w:val="00D24D5B"/>
    <w:rsid w:val="00D25FE5"/>
    <w:rsid w:val="00D2683F"/>
    <w:rsid w:val="00D27F35"/>
    <w:rsid w:val="00D30BB9"/>
    <w:rsid w:val="00D30BEC"/>
    <w:rsid w:val="00D30F66"/>
    <w:rsid w:val="00D31DA6"/>
    <w:rsid w:val="00D3295A"/>
    <w:rsid w:val="00D33310"/>
    <w:rsid w:val="00D33E93"/>
    <w:rsid w:val="00D3404B"/>
    <w:rsid w:val="00D345BA"/>
    <w:rsid w:val="00D34F37"/>
    <w:rsid w:val="00D3508C"/>
    <w:rsid w:val="00D350EA"/>
    <w:rsid w:val="00D36DCD"/>
    <w:rsid w:val="00D37075"/>
    <w:rsid w:val="00D37734"/>
    <w:rsid w:val="00D410F2"/>
    <w:rsid w:val="00D43119"/>
    <w:rsid w:val="00D431CB"/>
    <w:rsid w:val="00D437D8"/>
    <w:rsid w:val="00D44035"/>
    <w:rsid w:val="00D457CA"/>
    <w:rsid w:val="00D45E51"/>
    <w:rsid w:val="00D472A2"/>
    <w:rsid w:val="00D5064C"/>
    <w:rsid w:val="00D50747"/>
    <w:rsid w:val="00D5080E"/>
    <w:rsid w:val="00D50826"/>
    <w:rsid w:val="00D50A61"/>
    <w:rsid w:val="00D50FA8"/>
    <w:rsid w:val="00D515C0"/>
    <w:rsid w:val="00D5219A"/>
    <w:rsid w:val="00D5286D"/>
    <w:rsid w:val="00D52DBF"/>
    <w:rsid w:val="00D52FF7"/>
    <w:rsid w:val="00D538D6"/>
    <w:rsid w:val="00D5519E"/>
    <w:rsid w:val="00D55690"/>
    <w:rsid w:val="00D5580F"/>
    <w:rsid w:val="00D5581D"/>
    <w:rsid w:val="00D55F9A"/>
    <w:rsid w:val="00D5649B"/>
    <w:rsid w:val="00D56CB4"/>
    <w:rsid w:val="00D56D55"/>
    <w:rsid w:val="00D56E69"/>
    <w:rsid w:val="00D5703B"/>
    <w:rsid w:val="00D57FDF"/>
    <w:rsid w:val="00D6007C"/>
    <w:rsid w:val="00D61118"/>
    <w:rsid w:val="00D6143B"/>
    <w:rsid w:val="00D614F2"/>
    <w:rsid w:val="00D617A8"/>
    <w:rsid w:val="00D6246F"/>
    <w:rsid w:val="00D628CC"/>
    <w:rsid w:val="00D632CC"/>
    <w:rsid w:val="00D64B0C"/>
    <w:rsid w:val="00D64FC5"/>
    <w:rsid w:val="00D6523B"/>
    <w:rsid w:val="00D65577"/>
    <w:rsid w:val="00D65609"/>
    <w:rsid w:val="00D65A1B"/>
    <w:rsid w:val="00D65A4F"/>
    <w:rsid w:val="00D65D14"/>
    <w:rsid w:val="00D66161"/>
    <w:rsid w:val="00D66655"/>
    <w:rsid w:val="00D66FEC"/>
    <w:rsid w:val="00D676D7"/>
    <w:rsid w:val="00D67959"/>
    <w:rsid w:val="00D67FC9"/>
    <w:rsid w:val="00D70594"/>
    <w:rsid w:val="00D705BC"/>
    <w:rsid w:val="00D70900"/>
    <w:rsid w:val="00D71D53"/>
    <w:rsid w:val="00D728D0"/>
    <w:rsid w:val="00D7296E"/>
    <w:rsid w:val="00D735B9"/>
    <w:rsid w:val="00D73C0A"/>
    <w:rsid w:val="00D745D9"/>
    <w:rsid w:val="00D74657"/>
    <w:rsid w:val="00D752F5"/>
    <w:rsid w:val="00D7638E"/>
    <w:rsid w:val="00D7670C"/>
    <w:rsid w:val="00D76E54"/>
    <w:rsid w:val="00D77820"/>
    <w:rsid w:val="00D77C79"/>
    <w:rsid w:val="00D81841"/>
    <w:rsid w:val="00D82290"/>
    <w:rsid w:val="00D82552"/>
    <w:rsid w:val="00D827A7"/>
    <w:rsid w:val="00D8316A"/>
    <w:rsid w:val="00D83A29"/>
    <w:rsid w:val="00D8454B"/>
    <w:rsid w:val="00D84D05"/>
    <w:rsid w:val="00D84D7B"/>
    <w:rsid w:val="00D85115"/>
    <w:rsid w:val="00D86489"/>
    <w:rsid w:val="00D8668D"/>
    <w:rsid w:val="00D877AF"/>
    <w:rsid w:val="00D9011C"/>
    <w:rsid w:val="00D905C1"/>
    <w:rsid w:val="00D915A0"/>
    <w:rsid w:val="00D91C3F"/>
    <w:rsid w:val="00D91E27"/>
    <w:rsid w:val="00D924AD"/>
    <w:rsid w:val="00D92A6E"/>
    <w:rsid w:val="00D92DAB"/>
    <w:rsid w:val="00D93975"/>
    <w:rsid w:val="00D94713"/>
    <w:rsid w:val="00D94DED"/>
    <w:rsid w:val="00D953B2"/>
    <w:rsid w:val="00D978A4"/>
    <w:rsid w:val="00D978E2"/>
    <w:rsid w:val="00D97FA8"/>
    <w:rsid w:val="00DA0C70"/>
    <w:rsid w:val="00DA1233"/>
    <w:rsid w:val="00DA1465"/>
    <w:rsid w:val="00DA18E3"/>
    <w:rsid w:val="00DA2E67"/>
    <w:rsid w:val="00DA2EBC"/>
    <w:rsid w:val="00DA38A8"/>
    <w:rsid w:val="00DA450A"/>
    <w:rsid w:val="00DA4CE8"/>
    <w:rsid w:val="00DA4ED6"/>
    <w:rsid w:val="00DA50C1"/>
    <w:rsid w:val="00DA592D"/>
    <w:rsid w:val="00DA691D"/>
    <w:rsid w:val="00DA7AF1"/>
    <w:rsid w:val="00DB03CE"/>
    <w:rsid w:val="00DB0876"/>
    <w:rsid w:val="00DB09D1"/>
    <w:rsid w:val="00DB0F97"/>
    <w:rsid w:val="00DB20C4"/>
    <w:rsid w:val="00DB29B2"/>
    <w:rsid w:val="00DB2A0E"/>
    <w:rsid w:val="00DB2B7F"/>
    <w:rsid w:val="00DB353C"/>
    <w:rsid w:val="00DB5303"/>
    <w:rsid w:val="00DB5955"/>
    <w:rsid w:val="00DB6AAC"/>
    <w:rsid w:val="00DB6F2C"/>
    <w:rsid w:val="00DB7028"/>
    <w:rsid w:val="00DB7951"/>
    <w:rsid w:val="00DB7CCF"/>
    <w:rsid w:val="00DB7D7D"/>
    <w:rsid w:val="00DC08A7"/>
    <w:rsid w:val="00DC0B4E"/>
    <w:rsid w:val="00DC10DF"/>
    <w:rsid w:val="00DC14E8"/>
    <w:rsid w:val="00DC1FE3"/>
    <w:rsid w:val="00DC26D6"/>
    <w:rsid w:val="00DC3991"/>
    <w:rsid w:val="00DC504C"/>
    <w:rsid w:val="00DC609A"/>
    <w:rsid w:val="00DC6739"/>
    <w:rsid w:val="00DC677D"/>
    <w:rsid w:val="00DC690C"/>
    <w:rsid w:val="00DC6A1E"/>
    <w:rsid w:val="00DC78A2"/>
    <w:rsid w:val="00DD024D"/>
    <w:rsid w:val="00DD046E"/>
    <w:rsid w:val="00DD0E89"/>
    <w:rsid w:val="00DD12FD"/>
    <w:rsid w:val="00DD17AC"/>
    <w:rsid w:val="00DD1E9B"/>
    <w:rsid w:val="00DD2629"/>
    <w:rsid w:val="00DD2842"/>
    <w:rsid w:val="00DD2BCA"/>
    <w:rsid w:val="00DD304E"/>
    <w:rsid w:val="00DD33D5"/>
    <w:rsid w:val="00DD37B0"/>
    <w:rsid w:val="00DD4334"/>
    <w:rsid w:val="00DD4533"/>
    <w:rsid w:val="00DD488F"/>
    <w:rsid w:val="00DD4D2B"/>
    <w:rsid w:val="00DD50EA"/>
    <w:rsid w:val="00DD529D"/>
    <w:rsid w:val="00DD534B"/>
    <w:rsid w:val="00DD58E0"/>
    <w:rsid w:val="00DD5D90"/>
    <w:rsid w:val="00DD6666"/>
    <w:rsid w:val="00DD67A8"/>
    <w:rsid w:val="00DD6987"/>
    <w:rsid w:val="00DD6FEA"/>
    <w:rsid w:val="00DD7D73"/>
    <w:rsid w:val="00DD7EFE"/>
    <w:rsid w:val="00DE0E7D"/>
    <w:rsid w:val="00DE11A3"/>
    <w:rsid w:val="00DE20D5"/>
    <w:rsid w:val="00DE20E9"/>
    <w:rsid w:val="00DE22B9"/>
    <w:rsid w:val="00DE2B70"/>
    <w:rsid w:val="00DE4CE7"/>
    <w:rsid w:val="00DE513B"/>
    <w:rsid w:val="00DE51B9"/>
    <w:rsid w:val="00DE581F"/>
    <w:rsid w:val="00DF0D54"/>
    <w:rsid w:val="00DF1C25"/>
    <w:rsid w:val="00DF2DF8"/>
    <w:rsid w:val="00DF43F3"/>
    <w:rsid w:val="00DF50F7"/>
    <w:rsid w:val="00DF513F"/>
    <w:rsid w:val="00DF52B5"/>
    <w:rsid w:val="00DF5542"/>
    <w:rsid w:val="00DF5C29"/>
    <w:rsid w:val="00DF610A"/>
    <w:rsid w:val="00DF62CE"/>
    <w:rsid w:val="00DF69B4"/>
    <w:rsid w:val="00DF6CBF"/>
    <w:rsid w:val="00DF71D2"/>
    <w:rsid w:val="00E0017D"/>
    <w:rsid w:val="00E004B5"/>
    <w:rsid w:val="00E00A60"/>
    <w:rsid w:val="00E00C17"/>
    <w:rsid w:val="00E010E9"/>
    <w:rsid w:val="00E0277D"/>
    <w:rsid w:val="00E02CF6"/>
    <w:rsid w:val="00E03C1A"/>
    <w:rsid w:val="00E04079"/>
    <w:rsid w:val="00E04B92"/>
    <w:rsid w:val="00E04ECA"/>
    <w:rsid w:val="00E05FF9"/>
    <w:rsid w:val="00E066A4"/>
    <w:rsid w:val="00E06A5F"/>
    <w:rsid w:val="00E06F0B"/>
    <w:rsid w:val="00E116DD"/>
    <w:rsid w:val="00E11E6E"/>
    <w:rsid w:val="00E12104"/>
    <w:rsid w:val="00E1257F"/>
    <w:rsid w:val="00E1266A"/>
    <w:rsid w:val="00E12ECC"/>
    <w:rsid w:val="00E134B9"/>
    <w:rsid w:val="00E1353A"/>
    <w:rsid w:val="00E13EE0"/>
    <w:rsid w:val="00E1463F"/>
    <w:rsid w:val="00E14660"/>
    <w:rsid w:val="00E1498D"/>
    <w:rsid w:val="00E15769"/>
    <w:rsid w:val="00E16C2D"/>
    <w:rsid w:val="00E20012"/>
    <w:rsid w:val="00E2023D"/>
    <w:rsid w:val="00E20C78"/>
    <w:rsid w:val="00E214F9"/>
    <w:rsid w:val="00E215BB"/>
    <w:rsid w:val="00E21D74"/>
    <w:rsid w:val="00E220F9"/>
    <w:rsid w:val="00E22559"/>
    <w:rsid w:val="00E2317A"/>
    <w:rsid w:val="00E23C4A"/>
    <w:rsid w:val="00E23E82"/>
    <w:rsid w:val="00E24323"/>
    <w:rsid w:val="00E24980"/>
    <w:rsid w:val="00E24C5D"/>
    <w:rsid w:val="00E25671"/>
    <w:rsid w:val="00E259C0"/>
    <w:rsid w:val="00E2640C"/>
    <w:rsid w:val="00E26CDF"/>
    <w:rsid w:val="00E27284"/>
    <w:rsid w:val="00E27EDF"/>
    <w:rsid w:val="00E3029E"/>
    <w:rsid w:val="00E308F0"/>
    <w:rsid w:val="00E30C24"/>
    <w:rsid w:val="00E3169E"/>
    <w:rsid w:val="00E31B55"/>
    <w:rsid w:val="00E330B8"/>
    <w:rsid w:val="00E33877"/>
    <w:rsid w:val="00E33A46"/>
    <w:rsid w:val="00E33EDE"/>
    <w:rsid w:val="00E344EC"/>
    <w:rsid w:val="00E3456C"/>
    <w:rsid w:val="00E3477A"/>
    <w:rsid w:val="00E35116"/>
    <w:rsid w:val="00E35204"/>
    <w:rsid w:val="00E36192"/>
    <w:rsid w:val="00E36199"/>
    <w:rsid w:val="00E36473"/>
    <w:rsid w:val="00E36B0D"/>
    <w:rsid w:val="00E37489"/>
    <w:rsid w:val="00E4042E"/>
    <w:rsid w:val="00E40520"/>
    <w:rsid w:val="00E4167C"/>
    <w:rsid w:val="00E426E4"/>
    <w:rsid w:val="00E4276C"/>
    <w:rsid w:val="00E42A64"/>
    <w:rsid w:val="00E42BA9"/>
    <w:rsid w:val="00E43C73"/>
    <w:rsid w:val="00E44139"/>
    <w:rsid w:val="00E44322"/>
    <w:rsid w:val="00E44F56"/>
    <w:rsid w:val="00E45BC7"/>
    <w:rsid w:val="00E46304"/>
    <w:rsid w:val="00E4682D"/>
    <w:rsid w:val="00E477E8"/>
    <w:rsid w:val="00E5023D"/>
    <w:rsid w:val="00E50830"/>
    <w:rsid w:val="00E508D2"/>
    <w:rsid w:val="00E509F8"/>
    <w:rsid w:val="00E50DB1"/>
    <w:rsid w:val="00E50FEA"/>
    <w:rsid w:val="00E53A00"/>
    <w:rsid w:val="00E54026"/>
    <w:rsid w:val="00E5743D"/>
    <w:rsid w:val="00E602B4"/>
    <w:rsid w:val="00E60B74"/>
    <w:rsid w:val="00E60E4C"/>
    <w:rsid w:val="00E60EAD"/>
    <w:rsid w:val="00E61664"/>
    <w:rsid w:val="00E6172A"/>
    <w:rsid w:val="00E634F3"/>
    <w:rsid w:val="00E63A59"/>
    <w:rsid w:val="00E63B99"/>
    <w:rsid w:val="00E6427F"/>
    <w:rsid w:val="00E64608"/>
    <w:rsid w:val="00E64D26"/>
    <w:rsid w:val="00E64F9D"/>
    <w:rsid w:val="00E6529B"/>
    <w:rsid w:val="00E65AB7"/>
    <w:rsid w:val="00E663FE"/>
    <w:rsid w:val="00E66738"/>
    <w:rsid w:val="00E671AB"/>
    <w:rsid w:val="00E67254"/>
    <w:rsid w:val="00E672CA"/>
    <w:rsid w:val="00E6771A"/>
    <w:rsid w:val="00E67DCC"/>
    <w:rsid w:val="00E67E9E"/>
    <w:rsid w:val="00E70824"/>
    <w:rsid w:val="00E70A7C"/>
    <w:rsid w:val="00E71A44"/>
    <w:rsid w:val="00E722A9"/>
    <w:rsid w:val="00E72403"/>
    <w:rsid w:val="00E72BA3"/>
    <w:rsid w:val="00E735C9"/>
    <w:rsid w:val="00E73773"/>
    <w:rsid w:val="00E73B58"/>
    <w:rsid w:val="00E741E5"/>
    <w:rsid w:val="00E74D1B"/>
    <w:rsid w:val="00E75933"/>
    <w:rsid w:val="00E763DD"/>
    <w:rsid w:val="00E76868"/>
    <w:rsid w:val="00E77BB8"/>
    <w:rsid w:val="00E77F98"/>
    <w:rsid w:val="00E8005D"/>
    <w:rsid w:val="00E80BA1"/>
    <w:rsid w:val="00E81A71"/>
    <w:rsid w:val="00E8222B"/>
    <w:rsid w:val="00E828A7"/>
    <w:rsid w:val="00E8373D"/>
    <w:rsid w:val="00E83ECB"/>
    <w:rsid w:val="00E84036"/>
    <w:rsid w:val="00E84DAE"/>
    <w:rsid w:val="00E84ED8"/>
    <w:rsid w:val="00E85A36"/>
    <w:rsid w:val="00E85AE7"/>
    <w:rsid w:val="00E85E6B"/>
    <w:rsid w:val="00E8653F"/>
    <w:rsid w:val="00E865DC"/>
    <w:rsid w:val="00E867B3"/>
    <w:rsid w:val="00E8680A"/>
    <w:rsid w:val="00E86D4D"/>
    <w:rsid w:val="00E87499"/>
    <w:rsid w:val="00E878A1"/>
    <w:rsid w:val="00E909E2"/>
    <w:rsid w:val="00E9292C"/>
    <w:rsid w:val="00E92ACC"/>
    <w:rsid w:val="00E94BB2"/>
    <w:rsid w:val="00E9589F"/>
    <w:rsid w:val="00E958A7"/>
    <w:rsid w:val="00E96B6A"/>
    <w:rsid w:val="00E97359"/>
    <w:rsid w:val="00E97530"/>
    <w:rsid w:val="00E97939"/>
    <w:rsid w:val="00EA0257"/>
    <w:rsid w:val="00EA0641"/>
    <w:rsid w:val="00EA06FC"/>
    <w:rsid w:val="00EA08DB"/>
    <w:rsid w:val="00EA08FE"/>
    <w:rsid w:val="00EA0E8E"/>
    <w:rsid w:val="00EA286D"/>
    <w:rsid w:val="00EA3170"/>
    <w:rsid w:val="00EA37FF"/>
    <w:rsid w:val="00EA432D"/>
    <w:rsid w:val="00EA4D46"/>
    <w:rsid w:val="00EA51E8"/>
    <w:rsid w:val="00EA5C4D"/>
    <w:rsid w:val="00EA69B9"/>
    <w:rsid w:val="00EA6AB2"/>
    <w:rsid w:val="00EA748F"/>
    <w:rsid w:val="00EB1021"/>
    <w:rsid w:val="00EB2464"/>
    <w:rsid w:val="00EB2703"/>
    <w:rsid w:val="00EB32C3"/>
    <w:rsid w:val="00EB38A1"/>
    <w:rsid w:val="00EB3B5E"/>
    <w:rsid w:val="00EB43CE"/>
    <w:rsid w:val="00EB46EE"/>
    <w:rsid w:val="00EB54DA"/>
    <w:rsid w:val="00EB55FA"/>
    <w:rsid w:val="00EB583A"/>
    <w:rsid w:val="00EB653E"/>
    <w:rsid w:val="00EB67F0"/>
    <w:rsid w:val="00EB7994"/>
    <w:rsid w:val="00EB7BE6"/>
    <w:rsid w:val="00EC0370"/>
    <w:rsid w:val="00EC0CA0"/>
    <w:rsid w:val="00EC1491"/>
    <w:rsid w:val="00EC1C8E"/>
    <w:rsid w:val="00EC2048"/>
    <w:rsid w:val="00EC2C54"/>
    <w:rsid w:val="00EC37FA"/>
    <w:rsid w:val="00EC4031"/>
    <w:rsid w:val="00EC4B9C"/>
    <w:rsid w:val="00EC4D38"/>
    <w:rsid w:val="00EC59AE"/>
    <w:rsid w:val="00EC5EB2"/>
    <w:rsid w:val="00EC62CB"/>
    <w:rsid w:val="00EC64E9"/>
    <w:rsid w:val="00EC659B"/>
    <w:rsid w:val="00EC6D5B"/>
    <w:rsid w:val="00EC6E5D"/>
    <w:rsid w:val="00EC71CB"/>
    <w:rsid w:val="00ED066F"/>
    <w:rsid w:val="00ED1287"/>
    <w:rsid w:val="00ED18E6"/>
    <w:rsid w:val="00ED19B4"/>
    <w:rsid w:val="00ED2277"/>
    <w:rsid w:val="00ED22FA"/>
    <w:rsid w:val="00ED2B19"/>
    <w:rsid w:val="00ED2B4A"/>
    <w:rsid w:val="00ED2E7F"/>
    <w:rsid w:val="00ED3E77"/>
    <w:rsid w:val="00ED4958"/>
    <w:rsid w:val="00ED588F"/>
    <w:rsid w:val="00ED5EB5"/>
    <w:rsid w:val="00ED6589"/>
    <w:rsid w:val="00ED678D"/>
    <w:rsid w:val="00ED6E34"/>
    <w:rsid w:val="00ED72B1"/>
    <w:rsid w:val="00ED77F0"/>
    <w:rsid w:val="00ED7D3D"/>
    <w:rsid w:val="00EE09E1"/>
    <w:rsid w:val="00EE0E7F"/>
    <w:rsid w:val="00EE0E87"/>
    <w:rsid w:val="00EE11B9"/>
    <w:rsid w:val="00EE1A73"/>
    <w:rsid w:val="00EE1DE6"/>
    <w:rsid w:val="00EE1F5E"/>
    <w:rsid w:val="00EE2430"/>
    <w:rsid w:val="00EE249F"/>
    <w:rsid w:val="00EE254B"/>
    <w:rsid w:val="00EE2856"/>
    <w:rsid w:val="00EE5326"/>
    <w:rsid w:val="00EE5397"/>
    <w:rsid w:val="00EE5770"/>
    <w:rsid w:val="00EE60EE"/>
    <w:rsid w:val="00EE75CB"/>
    <w:rsid w:val="00EF095C"/>
    <w:rsid w:val="00EF122E"/>
    <w:rsid w:val="00EF1D87"/>
    <w:rsid w:val="00EF32D8"/>
    <w:rsid w:val="00EF355E"/>
    <w:rsid w:val="00EF3941"/>
    <w:rsid w:val="00EF3D8C"/>
    <w:rsid w:val="00EF45E9"/>
    <w:rsid w:val="00EF47CB"/>
    <w:rsid w:val="00EF4E0C"/>
    <w:rsid w:val="00EF5484"/>
    <w:rsid w:val="00EF5B8D"/>
    <w:rsid w:val="00EF5D8A"/>
    <w:rsid w:val="00EF6400"/>
    <w:rsid w:val="00EF64F2"/>
    <w:rsid w:val="00EF65F9"/>
    <w:rsid w:val="00EF6960"/>
    <w:rsid w:val="00F00057"/>
    <w:rsid w:val="00F0117D"/>
    <w:rsid w:val="00F01871"/>
    <w:rsid w:val="00F01FCC"/>
    <w:rsid w:val="00F0262D"/>
    <w:rsid w:val="00F0324D"/>
    <w:rsid w:val="00F032F8"/>
    <w:rsid w:val="00F03C0F"/>
    <w:rsid w:val="00F049ED"/>
    <w:rsid w:val="00F04A59"/>
    <w:rsid w:val="00F0541B"/>
    <w:rsid w:val="00F05DF9"/>
    <w:rsid w:val="00F06E8E"/>
    <w:rsid w:val="00F101FB"/>
    <w:rsid w:val="00F10DBA"/>
    <w:rsid w:val="00F11D52"/>
    <w:rsid w:val="00F12557"/>
    <w:rsid w:val="00F12E40"/>
    <w:rsid w:val="00F12F29"/>
    <w:rsid w:val="00F130F9"/>
    <w:rsid w:val="00F138A8"/>
    <w:rsid w:val="00F139E8"/>
    <w:rsid w:val="00F155A6"/>
    <w:rsid w:val="00F156B6"/>
    <w:rsid w:val="00F16ADD"/>
    <w:rsid w:val="00F16DE1"/>
    <w:rsid w:val="00F16ECD"/>
    <w:rsid w:val="00F17199"/>
    <w:rsid w:val="00F20738"/>
    <w:rsid w:val="00F20BEC"/>
    <w:rsid w:val="00F21076"/>
    <w:rsid w:val="00F2133E"/>
    <w:rsid w:val="00F21BE7"/>
    <w:rsid w:val="00F21FE4"/>
    <w:rsid w:val="00F22889"/>
    <w:rsid w:val="00F23087"/>
    <w:rsid w:val="00F2578D"/>
    <w:rsid w:val="00F27788"/>
    <w:rsid w:val="00F27ABD"/>
    <w:rsid w:val="00F30871"/>
    <w:rsid w:val="00F30C43"/>
    <w:rsid w:val="00F31006"/>
    <w:rsid w:val="00F314C8"/>
    <w:rsid w:val="00F31C07"/>
    <w:rsid w:val="00F32D1F"/>
    <w:rsid w:val="00F34120"/>
    <w:rsid w:val="00F342C8"/>
    <w:rsid w:val="00F35B8B"/>
    <w:rsid w:val="00F36FDB"/>
    <w:rsid w:val="00F37231"/>
    <w:rsid w:val="00F4049B"/>
    <w:rsid w:val="00F407C6"/>
    <w:rsid w:val="00F412CC"/>
    <w:rsid w:val="00F41D5C"/>
    <w:rsid w:val="00F41FF7"/>
    <w:rsid w:val="00F42215"/>
    <w:rsid w:val="00F42373"/>
    <w:rsid w:val="00F42A07"/>
    <w:rsid w:val="00F43B27"/>
    <w:rsid w:val="00F43E0B"/>
    <w:rsid w:val="00F44404"/>
    <w:rsid w:val="00F4473C"/>
    <w:rsid w:val="00F447F5"/>
    <w:rsid w:val="00F44B8C"/>
    <w:rsid w:val="00F44D71"/>
    <w:rsid w:val="00F45E09"/>
    <w:rsid w:val="00F468F0"/>
    <w:rsid w:val="00F46A12"/>
    <w:rsid w:val="00F472B5"/>
    <w:rsid w:val="00F5036E"/>
    <w:rsid w:val="00F50F8D"/>
    <w:rsid w:val="00F513DA"/>
    <w:rsid w:val="00F51C38"/>
    <w:rsid w:val="00F51E98"/>
    <w:rsid w:val="00F528F8"/>
    <w:rsid w:val="00F529FC"/>
    <w:rsid w:val="00F52AD1"/>
    <w:rsid w:val="00F52BF1"/>
    <w:rsid w:val="00F53182"/>
    <w:rsid w:val="00F53666"/>
    <w:rsid w:val="00F53A20"/>
    <w:rsid w:val="00F53B77"/>
    <w:rsid w:val="00F54E3C"/>
    <w:rsid w:val="00F55110"/>
    <w:rsid w:val="00F553A4"/>
    <w:rsid w:val="00F55C47"/>
    <w:rsid w:val="00F55D4F"/>
    <w:rsid w:val="00F55F3B"/>
    <w:rsid w:val="00F562F6"/>
    <w:rsid w:val="00F566F7"/>
    <w:rsid w:val="00F57239"/>
    <w:rsid w:val="00F5756E"/>
    <w:rsid w:val="00F57CD2"/>
    <w:rsid w:val="00F60034"/>
    <w:rsid w:val="00F61520"/>
    <w:rsid w:val="00F61659"/>
    <w:rsid w:val="00F6290C"/>
    <w:rsid w:val="00F640FE"/>
    <w:rsid w:val="00F64D38"/>
    <w:rsid w:val="00F64FE4"/>
    <w:rsid w:val="00F6520C"/>
    <w:rsid w:val="00F65E37"/>
    <w:rsid w:val="00F66A8F"/>
    <w:rsid w:val="00F66E3C"/>
    <w:rsid w:val="00F67154"/>
    <w:rsid w:val="00F676D7"/>
    <w:rsid w:val="00F67CE7"/>
    <w:rsid w:val="00F7062E"/>
    <w:rsid w:val="00F70961"/>
    <w:rsid w:val="00F70AC0"/>
    <w:rsid w:val="00F70DC3"/>
    <w:rsid w:val="00F71226"/>
    <w:rsid w:val="00F732AB"/>
    <w:rsid w:val="00F739F6"/>
    <w:rsid w:val="00F73B80"/>
    <w:rsid w:val="00F73C78"/>
    <w:rsid w:val="00F73D32"/>
    <w:rsid w:val="00F74289"/>
    <w:rsid w:val="00F76714"/>
    <w:rsid w:val="00F77009"/>
    <w:rsid w:val="00F7737A"/>
    <w:rsid w:val="00F80101"/>
    <w:rsid w:val="00F808BD"/>
    <w:rsid w:val="00F812EB"/>
    <w:rsid w:val="00F8184F"/>
    <w:rsid w:val="00F81D7B"/>
    <w:rsid w:val="00F82424"/>
    <w:rsid w:val="00F825D2"/>
    <w:rsid w:val="00F826AE"/>
    <w:rsid w:val="00F82876"/>
    <w:rsid w:val="00F82B06"/>
    <w:rsid w:val="00F82BA1"/>
    <w:rsid w:val="00F83052"/>
    <w:rsid w:val="00F835C2"/>
    <w:rsid w:val="00F842A0"/>
    <w:rsid w:val="00F8449C"/>
    <w:rsid w:val="00F84AE0"/>
    <w:rsid w:val="00F84B93"/>
    <w:rsid w:val="00F85AAA"/>
    <w:rsid w:val="00F85C51"/>
    <w:rsid w:val="00F86956"/>
    <w:rsid w:val="00F86F7D"/>
    <w:rsid w:val="00F8705C"/>
    <w:rsid w:val="00F8733B"/>
    <w:rsid w:val="00F90AFB"/>
    <w:rsid w:val="00F911E4"/>
    <w:rsid w:val="00F92826"/>
    <w:rsid w:val="00F929F8"/>
    <w:rsid w:val="00F92DCA"/>
    <w:rsid w:val="00F93023"/>
    <w:rsid w:val="00F9307F"/>
    <w:rsid w:val="00F93145"/>
    <w:rsid w:val="00F947B9"/>
    <w:rsid w:val="00F94AD3"/>
    <w:rsid w:val="00F94B77"/>
    <w:rsid w:val="00F9586D"/>
    <w:rsid w:val="00F95F96"/>
    <w:rsid w:val="00F96384"/>
    <w:rsid w:val="00F967FA"/>
    <w:rsid w:val="00F9755A"/>
    <w:rsid w:val="00F97807"/>
    <w:rsid w:val="00F97E40"/>
    <w:rsid w:val="00FA006D"/>
    <w:rsid w:val="00FA0E03"/>
    <w:rsid w:val="00FA2794"/>
    <w:rsid w:val="00FA286A"/>
    <w:rsid w:val="00FA32BD"/>
    <w:rsid w:val="00FA330A"/>
    <w:rsid w:val="00FA357C"/>
    <w:rsid w:val="00FA36B6"/>
    <w:rsid w:val="00FA4EAE"/>
    <w:rsid w:val="00FA5086"/>
    <w:rsid w:val="00FA50BE"/>
    <w:rsid w:val="00FA5124"/>
    <w:rsid w:val="00FA5A1E"/>
    <w:rsid w:val="00FA5DDF"/>
    <w:rsid w:val="00FA6229"/>
    <w:rsid w:val="00FA6277"/>
    <w:rsid w:val="00FB001F"/>
    <w:rsid w:val="00FB0082"/>
    <w:rsid w:val="00FB07DD"/>
    <w:rsid w:val="00FB0AF6"/>
    <w:rsid w:val="00FB1681"/>
    <w:rsid w:val="00FB1818"/>
    <w:rsid w:val="00FB243B"/>
    <w:rsid w:val="00FB30D2"/>
    <w:rsid w:val="00FB33E3"/>
    <w:rsid w:val="00FB48AC"/>
    <w:rsid w:val="00FB4C57"/>
    <w:rsid w:val="00FB53A4"/>
    <w:rsid w:val="00FB59B4"/>
    <w:rsid w:val="00FB5ADA"/>
    <w:rsid w:val="00FB633D"/>
    <w:rsid w:val="00FB6E6B"/>
    <w:rsid w:val="00FC0FCB"/>
    <w:rsid w:val="00FC10B9"/>
    <w:rsid w:val="00FC1606"/>
    <w:rsid w:val="00FC1644"/>
    <w:rsid w:val="00FC1988"/>
    <w:rsid w:val="00FC240C"/>
    <w:rsid w:val="00FC2C5E"/>
    <w:rsid w:val="00FC2E63"/>
    <w:rsid w:val="00FC3C74"/>
    <w:rsid w:val="00FC3E35"/>
    <w:rsid w:val="00FC4159"/>
    <w:rsid w:val="00FC5885"/>
    <w:rsid w:val="00FC58BE"/>
    <w:rsid w:val="00FD090D"/>
    <w:rsid w:val="00FD0993"/>
    <w:rsid w:val="00FD1317"/>
    <w:rsid w:val="00FD15C9"/>
    <w:rsid w:val="00FD1978"/>
    <w:rsid w:val="00FD1B24"/>
    <w:rsid w:val="00FD1E4C"/>
    <w:rsid w:val="00FD2111"/>
    <w:rsid w:val="00FD217C"/>
    <w:rsid w:val="00FD2BCE"/>
    <w:rsid w:val="00FD2F08"/>
    <w:rsid w:val="00FD2FDB"/>
    <w:rsid w:val="00FD3896"/>
    <w:rsid w:val="00FD3A69"/>
    <w:rsid w:val="00FD5790"/>
    <w:rsid w:val="00FD57E7"/>
    <w:rsid w:val="00FD5D86"/>
    <w:rsid w:val="00FD61C6"/>
    <w:rsid w:val="00FD6EB5"/>
    <w:rsid w:val="00FD7BA4"/>
    <w:rsid w:val="00FE01BA"/>
    <w:rsid w:val="00FE09D6"/>
    <w:rsid w:val="00FE0A89"/>
    <w:rsid w:val="00FE1BCC"/>
    <w:rsid w:val="00FE20D7"/>
    <w:rsid w:val="00FE228A"/>
    <w:rsid w:val="00FE3216"/>
    <w:rsid w:val="00FE33B2"/>
    <w:rsid w:val="00FE3444"/>
    <w:rsid w:val="00FE3721"/>
    <w:rsid w:val="00FE40A1"/>
    <w:rsid w:val="00FE4B7B"/>
    <w:rsid w:val="00FE4B92"/>
    <w:rsid w:val="00FE52E6"/>
    <w:rsid w:val="00FE60C8"/>
    <w:rsid w:val="00FE62FE"/>
    <w:rsid w:val="00FE7625"/>
    <w:rsid w:val="00FE7915"/>
    <w:rsid w:val="00FF1353"/>
    <w:rsid w:val="00FF1F03"/>
    <w:rsid w:val="00FF24F9"/>
    <w:rsid w:val="00FF2857"/>
    <w:rsid w:val="00FF31A2"/>
    <w:rsid w:val="00FF3711"/>
    <w:rsid w:val="00FF4D0B"/>
    <w:rsid w:val="00FF53CF"/>
    <w:rsid w:val="00FF58D5"/>
    <w:rsid w:val="00FF6005"/>
    <w:rsid w:val="00FF733F"/>
    <w:rsid w:val="00FF7354"/>
    <w:rsid w:val="00FF7D6E"/>
    <w:rsid w:val="018923BA"/>
    <w:rsid w:val="02507F55"/>
    <w:rsid w:val="03096F07"/>
    <w:rsid w:val="0961655C"/>
    <w:rsid w:val="09BF7D32"/>
    <w:rsid w:val="0ADA7DA4"/>
    <w:rsid w:val="0AFC4DD3"/>
    <w:rsid w:val="0DE93723"/>
    <w:rsid w:val="0E5C5A2C"/>
    <w:rsid w:val="0F3F75D0"/>
    <w:rsid w:val="0FC13B28"/>
    <w:rsid w:val="15FE5EE6"/>
    <w:rsid w:val="167002F8"/>
    <w:rsid w:val="1886448F"/>
    <w:rsid w:val="19BA200D"/>
    <w:rsid w:val="1A857F11"/>
    <w:rsid w:val="1B1D05CE"/>
    <w:rsid w:val="1BA26B50"/>
    <w:rsid w:val="1C4527E9"/>
    <w:rsid w:val="1D365C52"/>
    <w:rsid w:val="1E6F05E4"/>
    <w:rsid w:val="20147D74"/>
    <w:rsid w:val="207B48AE"/>
    <w:rsid w:val="20F02D10"/>
    <w:rsid w:val="21B130A5"/>
    <w:rsid w:val="21EA18B9"/>
    <w:rsid w:val="238478DD"/>
    <w:rsid w:val="240C1C1C"/>
    <w:rsid w:val="26D57E0B"/>
    <w:rsid w:val="274771A6"/>
    <w:rsid w:val="2A6B0DE0"/>
    <w:rsid w:val="2B475618"/>
    <w:rsid w:val="2CB23B65"/>
    <w:rsid w:val="2E373E30"/>
    <w:rsid w:val="2F027308"/>
    <w:rsid w:val="2F7A3272"/>
    <w:rsid w:val="31477AB9"/>
    <w:rsid w:val="32746ABE"/>
    <w:rsid w:val="33966C55"/>
    <w:rsid w:val="33FA3434"/>
    <w:rsid w:val="35F210B3"/>
    <w:rsid w:val="363308F6"/>
    <w:rsid w:val="3959240A"/>
    <w:rsid w:val="3A0362EC"/>
    <w:rsid w:val="3ADC52C5"/>
    <w:rsid w:val="3C083467"/>
    <w:rsid w:val="3E4413EA"/>
    <w:rsid w:val="3E676FBE"/>
    <w:rsid w:val="3E9341C4"/>
    <w:rsid w:val="41736D16"/>
    <w:rsid w:val="41900BE7"/>
    <w:rsid w:val="41BF77E4"/>
    <w:rsid w:val="42A9539C"/>
    <w:rsid w:val="44067705"/>
    <w:rsid w:val="477F2E19"/>
    <w:rsid w:val="491960F1"/>
    <w:rsid w:val="4A057DB0"/>
    <w:rsid w:val="4A6A2D05"/>
    <w:rsid w:val="4AC9391A"/>
    <w:rsid w:val="4E4F28E4"/>
    <w:rsid w:val="50DD35C0"/>
    <w:rsid w:val="519A7EA2"/>
    <w:rsid w:val="53FB114D"/>
    <w:rsid w:val="55975FBC"/>
    <w:rsid w:val="566C51B7"/>
    <w:rsid w:val="586F036A"/>
    <w:rsid w:val="58BC5005"/>
    <w:rsid w:val="59EF10FF"/>
    <w:rsid w:val="5A057ACC"/>
    <w:rsid w:val="5A957D9D"/>
    <w:rsid w:val="5CF27385"/>
    <w:rsid w:val="60F24EDD"/>
    <w:rsid w:val="610B440A"/>
    <w:rsid w:val="6568407B"/>
    <w:rsid w:val="6704337B"/>
    <w:rsid w:val="677A067D"/>
    <w:rsid w:val="69382C10"/>
    <w:rsid w:val="69D229E7"/>
    <w:rsid w:val="6A067627"/>
    <w:rsid w:val="6B1E5DCB"/>
    <w:rsid w:val="6B743EA8"/>
    <w:rsid w:val="6DD933B7"/>
    <w:rsid w:val="6E1C3DCC"/>
    <w:rsid w:val="6F686354"/>
    <w:rsid w:val="6FB85092"/>
    <w:rsid w:val="71894017"/>
    <w:rsid w:val="72552873"/>
    <w:rsid w:val="747A6FE3"/>
    <w:rsid w:val="75483074"/>
    <w:rsid w:val="75CD4676"/>
    <w:rsid w:val="769603A6"/>
    <w:rsid w:val="787D757E"/>
    <w:rsid w:val="78B97728"/>
    <w:rsid w:val="79A44F60"/>
    <w:rsid w:val="7B1A3C68"/>
    <w:rsid w:val="7B7163E0"/>
    <w:rsid w:val="7D6E7A20"/>
    <w:rsid w:val="7FB72956"/>
  </w:rsids>
  <m:mathPr>
    <m:mathFont m:val="Cambria Math"/>
    <m:brkBin m:val="before"/>
    <m:brkBinSub m:val="--"/>
    <m:smallFrac m:val="1"/>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qFormat="1" w:unhideWhenUsed="0" w:uiPriority="0" w:semiHidden="0" w:name="page number"/>
    <w:lsdException w:qFormat="1" w:unhideWhenUsed="0" w:uiPriority="0" w:semiHidden="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qFormat="1" w:uiPriority="99" w:semiHidden="0" w:name="List Bullet"/>
    <w:lsdException w:uiPriority="0" w:name="List Number"/>
    <w:lsdException w:qFormat="1" w:unhideWhenUsed="0" w:uiPriority="99" w:semiHidden="0" w:name="List 2"/>
    <w:lsdException w:qFormat="1" w:unhideWhenUsed="0" w:uiPriority="99" w:semiHidden="0" w:name="List 3"/>
    <w:lsdException w:qFormat="1" w:uiPriority="99" w:semiHidden="0" w:name="List 4"/>
    <w:lsdException w:uiPriority="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99" w:semiHidden="0" w:name="Body Text 3"/>
    <w:lsdException w:qFormat="1" w:unhideWhenUsed="0" w:uiPriority="99"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99"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name="Placeholder Text"/>
    <w:lsdException w:qFormat="1" w:unhideWhenUsed="0" w:uiPriority="0" w:semiHidden="0" w:name="No Spacing"/>
    <w:lsdException w:qFormat="1" w:unhideWhenUsed="0" w:uiPriority="1" w:semiHidden="0" w:name="List Paragraph"/>
    <w:lsdException w:qFormat="1" w:unhideWhenUsed="0" w:uiPriority="61" w:semiHidden="0" w:name="Light List Accent 3"/>
    <w:lsdException w:qFormat="1" w:unhideWhenUsed="0" w:uiPriority="60" w:semiHidden="0" w:name="Light Shading Accent 5"/>
  </w:latentStyles>
  <w:style w:type="paragraph" w:default="1" w:styleId="1">
    <w:name w:val="Normal"/>
    <w:qFormat/>
    <w:uiPriority w:val="0"/>
    <w:rPr>
      <w:rFonts w:ascii="Times New Roman" w:hAnsi="Times New Roman" w:eastAsia="Times New Roman" w:cs="Times New Roman"/>
      <w:sz w:val="22"/>
      <w:szCs w:val="22"/>
      <w:lang w:val="pt-BR" w:eastAsia="pt-BR" w:bidi="ar-SA"/>
    </w:rPr>
  </w:style>
  <w:style w:type="paragraph" w:styleId="2">
    <w:name w:val="heading 1"/>
    <w:basedOn w:val="1"/>
    <w:next w:val="1"/>
    <w:link w:val="79"/>
    <w:qFormat/>
    <w:uiPriority w:val="0"/>
    <w:pPr>
      <w:keepNext/>
      <w:outlineLvl w:val="0"/>
    </w:pPr>
    <w:rPr>
      <w:b/>
      <w:i/>
      <w:sz w:val="28"/>
    </w:rPr>
  </w:style>
  <w:style w:type="paragraph" w:styleId="3">
    <w:name w:val="heading 2"/>
    <w:basedOn w:val="1"/>
    <w:next w:val="1"/>
    <w:link w:val="162"/>
    <w:qFormat/>
    <w:uiPriority w:val="0"/>
    <w:pPr>
      <w:keepNext/>
      <w:jc w:val="center"/>
      <w:outlineLvl w:val="1"/>
    </w:pPr>
    <w:rPr>
      <w:b/>
    </w:rPr>
  </w:style>
  <w:style w:type="paragraph" w:styleId="4">
    <w:name w:val="heading 3"/>
    <w:basedOn w:val="1"/>
    <w:next w:val="1"/>
    <w:link w:val="166"/>
    <w:qFormat/>
    <w:uiPriority w:val="0"/>
    <w:pPr>
      <w:keepNext/>
      <w:outlineLvl w:val="2"/>
    </w:pPr>
    <w:rPr>
      <w:b/>
      <w:sz w:val="24"/>
    </w:rPr>
  </w:style>
  <w:style w:type="paragraph" w:styleId="5">
    <w:name w:val="heading 4"/>
    <w:basedOn w:val="1"/>
    <w:next w:val="1"/>
    <w:link w:val="169"/>
    <w:qFormat/>
    <w:uiPriority w:val="0"/>
    <w:pPr>
      <w:keepNext/>
      <w:jc w:val="center"/>
      <w:outlineLvl w:val="3"/>
    </w:pPr>
    <w:rPr>
      <w:b/>
      <w:sz w:val="24"/>
    </w:rPr>
  </w:style>
  <w:style w:type="paragraph" w:styleId="6">
    <w:name w:val="heading 5"/>
    <w:basedOn w:val="1"/>
    <w:next w:val="1"/>
    <w:link w:val="170"/>
    <w:qFormat/>
    <w:uiPriority w:val="0"/>
    <w:pPr>
      <w:keepNext/>
      <w:jc w:val="both"/>
      <w:outlineLvl w:val="4"/>
    </w:pPr>
    <w:rPr>
      <w:sz w:val="24"/>
    </w:rPr>
  </w:style>
  <w:style w:type="paragraph" w:styleId="7">
    <w:name w:val="heading 6"/>
    <w:basedOn w:val="1"/>
    <w:next w:val="1"/>
    <w:link w:val="171"/>
    <w:qFormat/>
    <w:uiPriority w:val="0"/>
    <w:pPr>
      <w:keepNext/>
      <w:jc w:val="center"/>
      <w:outlineLvl w:val="5"/>
    </w:pPr>
    <w:rPr>
      <w:sz w:val="24"/>
    </w:rPr>
  </w:style>
  <w:style w:type="paragraph" w:styleId="8">
    <w:name w:val="heading 7"/>
    <w:basedOn w:val="1"/>
    <w:next w:val="1"/>
    <w:link w:val="172"/>
    <w:qFormat/>
    <w:uiPriority w:val="0"/>
    <w:pPr>
      <w:keepNext/>
      <w:spacing w:line="360" w:lineRule="auto"/>
      <w:jc w:val="center"/>
      <w:outlineLvl w:val="6"/>
    </w:pPr>
    <w:rPr>
      <w:rFonts w:ascii="Arial" w:hAnsi="Arial" w:cs="Arial"/>
      <w:b/>
    </w:rPr>
  </w:style>
  <w:style w:type="paragraph" w:styleId="9">
    <w:name w:val="heading 8"/>
    <w:basedOn w:val="1"/>
    <w:next w:val="1"/>
    <w:link w:val="173"/>
    <w:qFormat/>
    <w:uiPriority w:val="0"/>
    <w:pPr>
      <w:keepNext/>
      <w:ind w:firstLine="1418"/>
      <w:jc w:val="both"/>
      <w:outlineLvl w:val="7"/>
    </w:pPr>
    <w:rPr>
      <w:b/>
      <w:sz w:val="24"/>
    </w:rPr>
  </w:style>
  <w:style w:type="paragraph" w:styleId="10">
    <w:name w:val="heading 9"/>
    <w:basedOn w:val="1"/>
    <w:next w:val="1"/>
    <w:link w:val="159"/>
    <w:qFormat/>
    <w:uiPriority w:val="0"/>
    <w:pPr>
      <w:spacing w:before="240" w:after="60"/>
      <w:outlineLvl w:val="8"/>
    </w:pPr>
    <w:rPr>
      <w:rFonts w:ascii="Arial" w:hAnsi="Arial" w:cs="Arial"/>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endnote reference"/>
    <w:qFormat/>
    <w:uiPriority w:val="0"/>
    <w:rPr>
      <w:vertAlign w:val="superscript"/>
    </w:rPr>
  </w:style>
  <w:style w:type="character" w:styleId="14">
    <w:name w:val="Strong"/>
    <w:basedOn w:val="11"/>
    <w:qFormat/>
    <w:uiPriority w:val="0"/>
    <w:rPr>
      <w:b/>
      <w:bCs/>
    </w:rPr>
  </w:style>
  <w:style w:type="character" w:styleId="15">
    <w:name w:val="annotation reference"/>
    <w:qFormat/>
    <w:uiPriority w:val="99"/>
    <w:rPr>
      <w:sz w:val="16"/>
    </w:rPr>
  </w:style>
  <w:style w:type="character" w:styleId="16">
    <w:name w:val="FollowedHyperlink"/>
    <w:basedOn w:val="11"/>
    <w:qFormat/>
    <w:uiPriority w:val="0"/>
    <w:rPr>
      <w:color w:val="800080"/>
      <w:u w:val="single"/>
    </w:rPr>
  </w:style>
  <w:style w:type="character" w:styleId="17">
    <w:name w:val="Emphasis"/>
    <w:basedOn w:val="11"/>
    <w:qFormat/>
    <w:uiPriority w:val="0"/>
    <w:rPr>
      <w:i/>
      <w:iCs/>
    </w:rPr>
  </w:style>
  <w:style w:type="character" w:styleId="18">
    <w:name w:val="footnote reference"/>
    <w:basedOn w:val="11"/>
    <w:qFormat/>
    <w:uiPriority w:val="0"/>
    <w:rPr>
      <w:vertAlign w:val="superscript"/>
    </w:rPr>
  </w:style>
  <w:style w:type="character" w:styleId="19">
    <w:name w:val="Hyperlink"/>
    <w:basedOn w:val="11"/>
    <w:qFormat/>
    <w:uiPriority w:val="0"/>
    <w:rPr>
      <w:color w:val="0000FF"/>
      <w:u w:val="single"/>
    </w:rPr>
  </w:style>
  <w:style w:type="character" w:styleId="20">
    <w:name w:val="page number"/>
    <w:basedOn w:val="11"/>
    <w:qFormat/>
    <w:uiPriority w:val="0"/>
  </w:style>
  <w:style w:type="paragraph" w:styleId="21">
    <w:name w:val="List"/>
    <w:basedOn w:val="22"/>
    <w:qFormat/>
    <w:uiPriority w:val="0"/>
    <w:pPr>
      <w:suppressAutoHyphens/>
      <w:spacing w:after="120"/>
      <w:jc w:val="left"/>
    </w:pPr>
    <w:rPr>
      <w:szCs w:val="24"/>
      <w:lang w:eastAsia="zh-CN"/>
    </w:rPr>
  </w:style>
  <w:style w:type="paragraph" w:styleId="22">
    <w:name w:val="Body Text"/>
    <w:basedOn w:val="1"/>
    <w:link w:val="163"/>
    <w:qFormat/>
    <w:uiPriority w:val="0"/>
    <w:pPr>
      <w:jc w:val="both"/>
    </w:pPr>
    <w:rPr>
      <w:sz w:val="24"/>
    </w:rPr>
  </w:style>
  <w:style w:type="paragraph" w:styleId="23">
    <w:name w:val="Block Text"/>
    <w:basedOn w:val="1"/>
    <w:qFormat/>
    <w:uiPriority w:val="0"/>
    <w:pPr>
      <w:ind w:left="540" w:right="-676"/>
      <w:jc w:val="both"/>
    </w:pPr>
    <w:rPr>
      <w:b/>
      <w:sz w:val="28"/>
      <w:szCs w:val="24"/>
    </w:rPr>
  </w:style>
  <w:style w:type="paragraph" w:styleId="24">
    <w:name w:val="annotation text"/>
    <w:basedOn w:val="1"/>
    <w:link w:val="75"/>
    <w:qFormat/>
    <w:uiPriority w:val="99"/>
  </w:style>
  <w:style w:type="paragraph" w:styleId="25">
    <w:name w:val="Body Text Indent 2"/>
    <w:basedOn w:val="1"/>
    <w:qFormat/>
    <w:uiPriority w:val="99"/>
    <w:pPr>
      <w:ind w:firstLine="1418"/>
      <w:jc w:val="both"/>
    </w:pPr>
    <w:rPr>
      <w:sz w:val="24"/>
    </w:rPr>
  </w:style>
  <w:style w:type="paragraph" w:styleId="26">
    <w:name w:val="Title"/>
    <w:basedOn w:val="1"/>
    <w:link w:val="74"/>
    <w:qFormat/>
    <w:uiPriority w:val="0"/>
    <w:pPr>
      <w:widowControl w:val="0"/>
      <w:jc w:val="center"/>
    </w:pPr>
    <w:rPr>
      <w:rFonts w:ascii="Utah" w:hAnsi="Utah"/>
      <w:b/>
      <w:snapToGrid w:val="0"/>
      <w:sz w:val="24"/>
    </w:rPr>
  </w:style>
  <w:style w:type="paragraph" w:styleId="27">
    <w:name w:val="List 4"/>
    <w:basedOn w:val="1"/>
    <w:unhideWhenUsed/>
    <w:qFormat/>
    <w:uiPriority w:val="99"/>
    <w:pPr>
      <w:suppressAutoHyphens/>
      <w:ind w:left="1132" w:hanging="283"/>
      <w:contextualSpacing/>
    </w:pPr>
    <w:rPr>
      <w:sz w:val="24"/>
      <w:szCs w:val="24"/>
      <w:lang w:eastAsia="zh-CN"/>
    </w:rPr>
  </w:style>
  <w:style w:type="paragraph" w:styleId="28">
    <w:name w:val="List Bullet 3"/>
    <w:basedOn w:val="1"/>
    <w:qFormat/>
    <w:uiPriority w:val="0"/>
    <w:pPr>
      <w:suppressAutoHyphens/>
      <w:ind w:left="1080" w:hanging="360"/>
    </w:pPr>
    <w:rPr>
      <w:rFonts w:ascii="Arial" w:hAnsi="Arial" w:cs="Arial"/>
      <w:sz w:val="24"/>
      <w:szCs w:val="20"/>
      <w:lang w:eastAsia="zh-CN"/>
    </w:rPr>
  </w:style>
  <w:style w:type="paragraph" w:styleId="29">
    <w:name w:val="Normal (Web)"/>
    <w:basedOn w:val="1"/>
    <w:link w:val="85"/>
    <w:qFormat/>
    <w:uiPriority w:val="99"/>
    <w:pPr>
      <w:spacing w:before="100" w:after="100"/>
    </w:pPr>
    <w:rPr>
      <w:sz w:val="24"/>
    </w:rPr>
  </w:style>
  <w:style w:type="paragraph" w:styleId="30">
    <w:name w:val="List Bullet 2"/>
    <w:basedOn w:val="1"/>
    <w:qFormat/>
    <w:uiPriority w:val="0"/>
    <w:pPr>
      <w:suppressAutoHyphens/>
      <w:ind w:left="720" w:hanging="360"/>
    </w:pPr>
    <w:rPr>
      <w:rFonts w:ascii="Arial" w:hAnsi="Arial" w:cs="Arial"/>
      <w:sz w:val="24"/>
      <w:szCs w:val="20"/>
      <w:lang w:eastAsia="zh-CN"/>
    </w:rPr>
  </w:style>
  <w:style w:type="paragraph" w:styleId="31">
    <w:name w:val="Plain Text"/>
    <w:basedOn w:val="1"/>
    <w:link w:val="84"/>
    <w:unhideWhenUsed/>
    <w:qFormat/>
    <w:uiPriority w:val="0"/>
    <w:rPr>
      <w:rFonts w:ascii="Courier New" w:hAnsi="Courier New"/>
    </w:rPr>
  </w:style>
  <w:style w:type="paragraph" w:styleId="32">
    <w:name w:val="Body Text 3"/>
    <w:basedOn w:val="1"/>
    <w:link w:val="86"/>
    <w:qFormat/>
    <w:uiPriority w:val="99"/>
    <w:pPr>
      <w:spacing w:after="120"/>
      <w:jc w:val="center"/>
    </w:pPr>
    <w:rPr>
      <w:b/>
      <w:sz w:val="18"/>
    </w:rPr>
  </w:style>
  <w:style w:type="paragraph" w:styleId="33">
    <w:name w:val="Body Text 2"/>
    <w:basedOn w:val="1"/>
    <w:link w:val="142"/>
    <w:qFormat/>
    <w:uiPriority w:val="0"/>
    <w:rPr>
      <w:b/>
    </w:rPr>
  </w:style>
  <w:style w:type="paragraph" w:styleId="34">
    <w:name w:val="header"/>
    <w:basedOn w:val="1"/>
    <w:link w:val="76"/>
    <w:qFormat/>
    <w:uiPriority w:val="0"/>
    <w:pPr>
      <w:tabs>
        <w:tab w:val="center" w:pos="4419"/>
        <w:tab w:val="right" w:pos="8838"/>
      </w:tabs>
    </w:pPr>
  </w:style>
  <w:style w:type="paragraph" w:styleId="35">
    <w:name w:val="annotation subject"/>
    <w:basedOn w:val="24"/>
    <w:next w:val="24"/>
    <w:link w:val="210"/>
    <w:qFormat/>
    <w:uiPriority w:val="99"/>
    <w:rPr>
      <w:b/>
      <w:bCs/>
      <w:sz w:val="20"/>
      <w:szCs w:val="20"/>
    </w:rPr>
  </w:style>
  <w:style w:type="paragraph" w:styleId="36">
    <w:name w:val="footer"/>
    <w:basedOn w:val="1"/>
    <w:link w:val="72"/>
    <w:qFormat/>
    <w:uiPriority w:val="0"/>
    <w:pPr>
      <w:tabs>
        <w:tab w:val="center" w:pos="4419"/>
        <w:tab w:val="right" w:pos="8838"/>
      </w:tabs>
    </w:pPr>
  </w:style>
  <w:style w:type="paragraph" w:styleId="37">
    <w:name w:val="Document Map"/>
    <w:basedOn w:val="1"/>
    <w:link w:val="174"/>
    <w:qFormat/>
    <w:uiPriority w:val="0"/>
    <w:pPr>
      <w:shd w:val="clear" w:color="auto" w:fill="000080"/>
    </w:pPr>
    <w:rPr>
      <w:rFonts w:ascii="Tahoma" w:hAnsi="Tahoma"/>
    </w:rPr>
  </w:style>
  <w:style w:type="paragraph" w:styleId="38">
    <w:name w:val="caption"/>
    <w:basedOn w:val="1"/>
    <w:next w:val="1"/>
    <w:qFormat/>
    <w:uiPriority w:val="0"/>
    <w:pPr>
      <w:jc w:val="center"/>
    </w:pPr>
    <w:rPr>
      <w:rFonts w:ascii="Arial" w:hAnsi="Arial"/>
      <w:b/>
    </w:rPr>
  </w:style>
  <w:style w:type="paragraph" w:styleId="39">
    <w:name w:val="List 3"/>
    <w:basedOn w:val="1"/>
    <w:qFormat/>
    <w:uiPriority w:val="99"/>
    <w:pPr>
      <w:ind w:left="849" w:hanging="283"/>
      <w:contextualSpacing/>
    </w:pPr>
  </w:style>
  <w:style w:type="paragraph" w:styleId="40">
    <w:name w:val="Body Text Indent 3"/>
    <w:basedOn w:val="1"/>
    <w:link w:val="87"/>
    <w:qFormat/>
    <w:uiPriority w:val="0"/>
    <w:pPr>
      <w:ind w:firstLine="1418"/>
    </w:pPr>
    <w:rPr>
      <w:sz w:val="24"/>
    </w:rPr>
  </w:style>
  <w:style w:type="paragraph" w:styleId="41">
    <w:name w:val="List Bullet 4"/>
    <w:basedOn w:val="1"/>
    <w:qFormat/>
    <w:uiPriority w:val="0"/>
    <w:pPr>
      <w:suppressAutoHyphens/>
      <w:ind w:left="1440" w:hanging="360"/>
    </w:pPr>
    <w:rPr>
      <w:rFonts w:ascii="Arial" w:hAnsi="Arial" w:cs="Arial"/>
      <w:sz w:val="24"/>
      <w:szCs w:val="20"/>
      <w:lang w:eastAsia="zh-CN"/>
    </w:rPr>
  </w:style>
  <w:style w:type="paragraph" w:styleId="42">
    <w:name w:val="Balloon Text"/>
    <w:basedOn w:val="1"/>
    <w:link w:val="81"/>
    <w:qFormat/>
    <w:uiPriority w:val="0"/>
    <w:rPr>
      <w:rFonts w:ascii="Tahoma" w:hAnsi="Tahoma" w:cs="Tahoma"/>
      <w:sz w:val="16"/>
      <w:szCs w:val="16"/>
    </w:rPr>
  </w:style>
  <w:style w:type="paragraph" w:styleId="43">
    <w:name w:val="Subtitle"/>
    <w:basedOn w:val="1"/>
    <w:link w:val="200"/>
    <w:qFormat/>
    <w:uiPriority w:val="0"/>
    <w:rPr>
      <w:b/>
      <w:sz w:val="28"/>
    </w:rPr>
  </w:style>
  <w:style w:type="paragraph" w:styleId="44">
    <w:name w:val="List 2"/>
    <w:basedOn w:val="1"/>
    <w:qFormat/>
    <w:uiPriority w:val="99"/>
    <w:pPr>
      <w:ind w:left="566" w:hanging="283"/>
      <w:contextualSpacing/>
    </w:pPr>
  </w:style>
  <w:style w:type="paragraph" w:styleId="45">
    <w:name w:val="footnote text"/>
    <w:basedOn w:val="1"/>
    <w:qFormat/>
    <w:uiPriority w:val="0"/>
  </w:style>
  <w:style w:type="paragraph" w:styleId="46">
    <w:name w:val="List Bullet"/>
    <w:basedOn w:val="1"/>
    <w:unhideWhenUsed/>
    <w:qFormat/>
    <w:uiPriority w:val="99"/>
    <w:pPr>
      <w:numPr>
        <w:ilvl w:val="0"/>
        <w:numId w:val="1"/>
      </w:numPr>
      <w:suppressAutoHyphens/>
      <w:contextualSpacing/>
    </w:pPr>
    <w:rPr>
      <w:sz w:val="24"/>
      <w:szCs w:val="24"/>
      <w:lang w:eastAsia="zh-CN"/>
    </w:rPr>
  </w:style>
  <w:style w:type="paragraph" w:styleId="47">
    <w:name w:val="Body Text Indent"/>
    <w:basedOn w:val="1"/>
    <w:link w:val="141"/>
    <w:qFormat/>
    <w:uiPriority w:val="0"/>
    <w:pPr>
      <w:jc w:val="center"/>
    </w:pPr>
    <w:rPr>
      <w:b/>
      <w:sz w:val="24"/>
    </w:rPr>
  </w:style>
  <w:style w:type="table" w:styleId="48">
    <w:name w:val="Table Elegant"/>
    <w:basedOn w:val="12"/>
    <w:qFormat/>
    <w:uiPriority w:val="99"/>
    <w:pPr>
      <w:suppressAutoHyphens/>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blStylePr w:type="firstRow">
      <w:rPr>
        <w:rFonts w:cs="Times New Roman"/>
      </w:rPr>
      <w:tblPr/>
      <w:tcPr>
        <w:tcBorders>
          <w:tl2br w:val="nil"/>
          <w:tr2bl w:val="nil"/>
        </w:tcBorders>
      </w:tcPr>
    </w:tblStylePr>
  </w:style>
  <w:style w:type="table" w:styleId="49">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50">
    <w:name w:val="Light Shading Accent 5"/>
    <w:basedOn w:val="12"/>
    <w:qFormat/>
    <w:uiPriority w:val="60"/>
    <w:rPr>
      <w:color w:val="31849B"/>
    </w:rPr>
    <w:tblPr>
      <w:tblBorders>
        <w:top w:val="single" w:color="4BACC6" w:sz="8" w:space="0"/>
        <w:bottom w:val="single" w:color="4BACC6"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4BACC6" w:sz="8" w:space="0"/>
          <w:left w:val="nil"/>
          <w:bottom w:val="single" w:color="4BACC6" w:sz="8" w:space="0"/>
          <w:right w:val="nil"/>
          <w:insideH w:val="nil"/>
          <w:insideV w:val="nil"/>
        </w:tcBorders>
      </w:tcPr>
    </w:tblStylePr>
    <w:tblStylePr w:type="lastRow">
      <w:pPr>
        <w:spacing w:before="0" w:after="0" w:line="240" w:lineRule="auto"/>
      </w:pPr>
      <w:rPr>
        <w:b/>
        <w:bCs/>
      </w:rPr>
      <w:tcPr>
        <w:tcBorders>
          <w:top w:val="single" w:color="4BACC6" w:sz="8" w:space="0"/>
          <w:left w:val="nil"/>
          <w:bottom w:val="single" w:color="4BACC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2EAF1"/>
      </w:tcPr>
    </w:tblStylePr>
    <w:tblStylePr w:type="band1Horz">
      <w:tcPr>
        <w:tcBorders>
          <w:left w:val="nil"/>
          <w:right w:val="nil"/>
          <w:insideH w:val="nil"/>
          <w:insideV w:val="nil"/>
        </w:tcBorders>
        <w:shd w:val="clear" w:color="auto" w:fill="D2EAF1"/>
      </w:tcPr>
    </w:tblStylePr>
  </w:style>
  <w:style w:type="table" w:styleId="51">
    <w:name w:val="Light List Accent 3"/>
    <w:basedOn w:val="12"/>
    <w:qFormat/>
    <w:uiPriority w:val="61"/>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shd w:val="clear" w:color="auto" w:fill="9BBB59" w:themeFill="accent3"/>
      </w:tcPr>
    </w:tblStylePr>
    <w:tblStylePr w:type="lastRow">
      <w:pPr>
        <w:spacing w:before="0" w:after="0" w:line="240" w:lineRule="auto"/>
      </w:pPr>
      <w:rPr>
        <w:b/>
        <w:bCs/>
      </w:r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paragraph" w:customStyle="1" w:styleId="52">
    <w:name w:val="Char Char Car Car Char Char Car Char Char Car Char Char Car Char Char Char"/>
    <w:basedOn w:val="1"/>
    <w:qFormat/>
    <w:uiPriority w:val="0"/>
    <w:pPr>
      <w:spacing w:after="160" w:line="240" w:lineRule="exact"/>
    </w:pPr>
    <w:rPr>
      <w:rFonts w:ascii="Tahoma" w:hAnsi="Tahoma"/>
      <w:lang w:val="en-US" w:eastAsia="en-US"/>
    </w:rPr>
  </w:style>
  <w:style w:type="paragraph" w:customStyle="1" w:styleId="53">
    <w:name w:val="p1"/>
    <w:basedOn w:val="1"/>
    <w:qFormat/>
    <w:uiPriority w:val="0"/>
    <w:pPr>
      <w:numPr>
        <w:ilvl w:val="0"/>
        <w:numId w:val="2"/>
      </w:numPr>
      <w:tabs>
        <w:tab w:val="clear" w:pos="360"/>
      </w:tabs>
      <w:ind w:left="1134" w:hanging="708"/>
      <w:jc w:val="both"/>
    </w:pPr>
    <w:rPr>
      <w:sz w:val="24"/>
    </w:rPr>
  </w:style>
  <w:style w:type="paragraph" w:customStyle="1" w:styleId="54">
    <w:name w:val="P"/>
    <w:basedOn w:val="1"/>
    <w:qFormat/>
    <w:uiPriority w:val="0"/>
    <w:pPr>
      <w:jc w:val="both"/>
    </w:pPr>
    <w:rPr>
      <w:b/>
      <w:sz w:val="24"/>
    </w:rPr>
  </w:style>
  <w:style w:type="paragraph" w:customStyle="1" w:styleId="55">
    <w:name w:val="blockquote"/>
    <w:basedOn w:val="1"/>
    <w:qFormat/>
    <w:uiPriority w:val="0"/>
    <w:pPr>
      <w:spacing w:before="100" w:after="100"/>
    </w:pPr>
    <w:rPr>
      <w:sz w:val="24"/>
    </w:rPr>
  </w:style>
  <w:style w:type="paragraph" w:customStyle="1" w:styleId="56">
    <w:name w:val="Estilo7"/>
    <w:basedOn w:val="1"/>
    <w:qFormat/>
    <w:uiPriority w:val="0"/>
    <w:pPr>
      <w:ind w:left="1134"/>
      <w:jc w:val="both"/>
    </w:pPr>
    <w:rPr>
      <w:sz w:val="24"/>
    </w:rPr>
  </w:style>
  <w:style w:type="paragraph" w:customStyle="1" w:styleId="57">
    <w:name w:val="PADRAO"/>
    <w:qFormat/>
    <w:uiPriority w:val="0"/>
    <w:pPr>
      <w:tabs>
        <w:tab w:val="left" w:pos="1440"/>
        <w:tab w:val="left" w:pos="2304"/>
        <w:tab w:val="left" w:pos="10080"/>
        <w:tab w:val="left" w:pos="10944"/>
        <w:tab w:val="left" w:pos="11232"/>
        <w:tab w:val="left" w:pos="11664"/>
      </w:tabs>
      <w:ind w:left="2016" w:hanging="576"/>
      <w:jc w:val="both"/>
    </w:pPr>
    <w:rPr>
      <w:rFonts w:ascii="Times New Roman" w:hAnsi="Times New Roman" w:eastAsia="Times New Roman" w:cs="Times New Roman"/>
      <w:color w:val="000000"/>
      <w:sz w:val="24"/>
      <w:szCs w:val="22"/>
      <w:lang w:val="pt-BR" w:eastAsia="pt-BR" w:bidi="ar-SA"/>
    </w:rPr>
  </w:style>
  <w:style w:type="paragraph" w:customStyle="1" w:styleId="58">
    <w:name w:val="P30"/>
    <w:basedOn w:val="1"/>
    <w:qFormat/>
    <w:uiPriority w:val="0"/>
    <w:pPr>
      <w:snapToGrid w:val="0"/>
      <w:jc w:val="both"/>
    </w:pPr>
    <w:rPr>
      <w:b/>
      <w:sz w:val="24"/>
    </w:rPr>
  </w:style>
  <w:style w:type="paragraph" w:customStyle="1" w:styleId="59">
    <w:name w:val="Body Text 21"/>
    <w:basedOn w:val="1"/>
    <w:qFormat/>
    <w:uiPriority w:val="0"/>
    <w:pPr>
      <w:snapToGrid w:val="0"/>
      <w:jc w:val="both"/>
    </w:pPr>
    <w:rPr>
      <w:sz w:val="24"/>
    </w:rPr>
  </w:style>
  <w:style w:type="paragraph" w:customStyle="1" w:styleId="60">
    <w:name w:val="_A300573"/>
    <w:qFormat/>
    <w:uiPriority w:val="0"/>
    <w:pPr>
      <w:widowControl w:val="0"/>
      <w:tabs>
        <w:tab w:val="decimal" w:pos="5328"/>
      </w:tabs>
      <w:ind w:left="720" w:right="1008" w:firstLine="3600"/>
      <w:jc w:val="both"/>
    </w:pPr>
    <w:rPr>
      <w:rFonts w:ascii="Arial" w:hAnsi="Arial" w:eastAsia="Times New Roman" w:cs="Times New Roman"/>
      <w:color w:val="000000"/>
      <w:sz w:val="24"/>
      <w:szCs w:val="22"/>
      <w:lang w:val="pt-BR" w:eastAsia="pt-BR" w:bidi="ar-SA"/>
    </w:rPr>
  </w:style>
  <w:style w:type="paragraph" w:customStyle="1" w:styleId="61">
    <w:name w:val="Nomal"/>
    <w:basedOn w:val="1"/>
    <w:qFormat/>
    <w:uiPriority w:val="0"/>
    <w:pPr>
      <w:tabs>
        <w:tab w:val="left" w:pos="709"/>
      </w:tabs>
      <w:ind w:right="17" w:firstLine="1418"/>
      <w:jc w:val="both"/>
    </w:pPr>
    <w:rPr>
      <w:rFonts w:ascii="Arial" w:hAnsi="Arial" w:cs="Arial"/>
      <w:sz w:val="24"/>
    </w:rPr>
  </w:style>
  <w:style w:type="paragraph" w:customStyle="1" w:styleId="62">
    <w:name w:val="Normal + Arial"/>
    <w:basedOn w:val="1"/>
    <w:link w:val="201"/>
    <w:qFormat/>
    <w:uiPriority w:val="0"/>
    <w:pPr>
      <w:ind w:firstLine="1418"/>
      <w:jc w:val="both"/>
    </w:pPr>
    <w:rPr>
      <w:rFonts w:ascii="Arial" w:hAnsi="Arial" w:cs="Arial"/>
      <w:sz w:val="24"/>
    </w:rPr>
  </w:style>
  <w:style w:type="paragraph" w:customStyle="1" w:styleId="63">
    <w:name w:val="Corpo de texto 31"/>
    <w:basedOn w:val="1"/>
    <w:qFormat/>
    <w:uiPriority w:val="0"/>
    <w:pPr>
      <w:jc w:val="both"/>
    </w:pPr>
    <w:rPr>
      <w:sz w:val="24"/>
    </w:rPr>
  </w:style>
  <w:style w:type="paragraph" w:customStyle="1" w:styleId="64">
    <w:name w:val="Corpo de texto 21"/>
    <w:basedOn w:val="1"/>
    <w:link w:val="143"/>
    <w:qFormat/>
    <w:uiPriority w:val="0"/>
    <w:rPr>
      <w:sz w:val="24"/>
    </w:rPr>
  </w:style>
  <w:style w:type="character" w:customStyle="1" w:styleId="65">
    <w:name w:val="small"/>
    <w:basedOn w:val="11"/>
    <w:qFormat/>
    <w:uiPriority w:val="0"/>
  </w:style>
  <w:style w:type="paragraph" w:customStyle="1" w:styleId="66">
    <w:name w:val="Padrão"/>
    <w:qFormat/>
    <w:uiPriority w:val="0"/>
    <w:pPr>
      <w:widowControl w:val="0"/>
      <w:autoSpaceDE w:val="0"/>
      <w:autoSpaceDN w:val="0"/>
      <w:adjustRightInd w:val="0"/>
    </w:pPr>
    <w:rPr>
      <w:rFonts w:ascii="Times New Roman" w:hAnsi="Times New Roman" w:eastAsia="Times New Roman" w:cs="Times New Roman"/>
      <w:sz w:val="24"/>
      <w:szCs w:val="24"/>
      <w:lang w:val="pt-BR" w:eastAsia="pt-BR" w:bidi="ar-SA"/>
    </w:rPr>
  </w:style>
  <w:style w:type="character" w:customStyle="1" w:styleId="67">
    <w:name w:val="normalgrandebold1"/>
    <w:basedOn w:val="11"/>
    <w:qFormat/>
    <w:uiPriority w:val="0"/>
    <w:rPr>
      <w:rFonts w:hint="default" w:ascii="Verdana" w:hAnsi="Verdana"/>
      <w:b/>
      <w:bCs/>
      <w:color w:val="000000"/>
      <w:sz w:val="21"/>
      <w:szCs w:val="21"/>
    </w:rPr>
  </w:style>
  <w:style w:type="character" w:customStyle="1" w:styleId="68">
    <w:name w:val="normalgigantebold18px1"/>
    <w:basedOn w:val="11"/>
    <w:qFormat/>
    <w:uiPriority w:val="0"/>
    <w:rPr>
      <w:rFonts w:hint="default" w:ascii="Verdana" w:hAnsi="Verdana"/>
      <w:b/>
      <w:bCs/>
      <w:color w:val="000000"/>
      <w:sz w:val="31"/>
      <w:szCs w:val="31"/>
    </w:rPr>
  </w:style>
  <w:style w:type="character" w:customStyle="1" w:styleId="69">
    <w:name w:val="normalbold1"/>
    <w:basedOn w:val="11"/>
    <w:qFormat/>
    <w:uiPriority w:val="0"/>
    <w:rPr>
      <w:rFonts w:hint="default" w:ascii="Verdana" w:hAnsi="Verdana"/>
      <w:b/>
      <w:bCs/>
      <w:color w:val="212121"/>
      <w:sz w:val="19"/>
      <w:szCs w:val="19"/>
    </w:rPr>
  </w:style>
  <w:style w:type="paragraph" w:customStyle="1" w:styleId="70">
    <w:name w:val="Corpo"/>
    <w:qFormat/>
    <w:uiPriority w:val="0"/>
    <w:pPr>
      <w:autoSpaceDE w:val="0"/>
      <w:autoSpaceDN w:val="0"/>
      <w:adjustRightInd w:val="0"/>
      <w:ind w:left="648" w:hanging="648"/>
      <w:jc w:val="both"/>
    </w:pPr>
    <w:rPr>
      <w:rFonts w:ascii="Arial" w:hAnsi="Arial" w:eastAsia="Times New Roman" w:cs="Times New Roman"/>
      <w:color w:val="000000"/>
      <w:sz w:val="22"/>
      <w:szCs w:val="22"/>
      <w:lang w:val="pt-BR" w:eastAsia="pt-BR" w:bidi="ar-SA"/>
    </w:rPr>
  </w:style>
  <w:style w:type="character" w:customStyle="1" w:styleId="71">
    <w:name w:val="textocinzanormal10"/>
    <w:basedOn w:val="11"/>
    <w:qFormat/>
    <w:uiPriority w:val="0"/>
  </w:style>
  <w:style w:type="character" w:customStyle="1" w:styleId="72">
    <w:name w:val="Rodapé Char"/>
    <w:basedOn w:val="11"/>
    <w:link w:val="36"/>
    <w:qFormat/>
    <w:uiPriority w:val="0"/>
    <w:rPr>
      <w:lang w:val="pt-BR" w:eastAsia="pt-BR" w:bidi="ar-SA"/>
    </w:rPr>
  </w:style>
  <w:style w:type="paragraph" w:customStyle="1" w:styleId="73">
    <w:name w:val="Char Char Car Car Char Char Car Char Char Car Char Char Car Char Char Char1"/>
    <w:basedOn w:val="1"/>
    <w:qFormat/>
    <w:uiPriority w:val="99"/>
    <w:pPr>
      <w:spacing w:after="160" w:line="240" w:lineRule="exact"/>
    </w:pPr>
    <w:rPr>
      <w:rFonts w:ascii="Tahoma" w:hAnsi="Tahoma"/>
      <w:lang w:val="en-US" w:eastAsia="en-US"/>
    </w:rPr>
  </w:style>
  <w:style w:type="character" w:customStyle="1" w:styleId="74">
    <w:name w:val="Título Char"/>
    <w:basedOn w:val="11"/>
    <w:link w:val="26"/>
    <w:qFormat/>
    <w:uiPriority w:val="0"/>
    <w:rPr>
      <w:rFonts w:ascii="Utah" w:hAnsi="Utah"/>
      <w:b/>
      <w:snapToGrid w:val="0"/>
      <w:sz w:val="24"/>
      <w:lang w:val="pt-BR" w:eastAsia="pt-BR" w:bidi="ar-SA"/>
    </w:rPr>
  </w:style>
  <w:style w:type="character" w:customStyle="1" w:styleId="75">
    <w:name w:val="Texto de comentário Char"/>
    <w:basedOn w:val="11"/>
    <w:link w:val="24"/>
    <w:qFormat/>
    <w:uiPriority w:val="99"/>
    <w:rPr>
      <w:lang w:val="pt-BR" w:eastAsia="pt-BR" w:bidi="ar-SA"/>
    </w:rPr>
  </w:style>
  <w:style w:type="character" w:customStyle="1" w:styleId="76">
    <w:name w:val="Cabeçalho Char"/>
    <w:basedOn w:val="11"/>
    <w:link w:val="34"/>
    <w:qFormat/>
    <w:uiPriority w:val="0"/>
    <w:rPr>
      <w:lang w:val="pt-BR" w:eastAsia="pt-BR" w:bidi="ar-SA"/>
    </w:rPr>
  </w:style>
  <w:style w:type="character" w:customStyle="1" w:styleId="77">
    <w:name w:val="Char Char1"/>
    <w:basedOn w:val="11"/>
    <w:qFormat/>
    <w:uiPriority w:val="0"/>
  </w:style>
  <w:style w:type="paragraph" w:customStyle="1" w:styleId="78">
    <w:name w:val="modelo"/>
    <w:basedOn w:val="34"/>
    <w:next w:val="34"/>
    <w:qFormat/>
    <w:uiPriority w:val="0"/>
    <w:pPr>
      <w:suppressAutoHyphens/>
      <w:jc w:val="both"/>
    </w:pPr>
    <w:rPr>
      <w:rFonts w:ascii="Arial" w:hAnsi="Arial" w:cs="Arial"/>
      <w:sz w:val="24"/>
      <w:szCs w:val="24"/>
    </w:rPr>
  </w:style>
  <w:style w:type="character" w:customStyle="1" w:styleId="79">
    <w:name w:val="Título 1 Char"/>
    <w:basedOn w:val="11"/>
    <w:link w:val="2"/>
    <w:qFormat/>
    <w:uiPriority w:val="0"/>
    <w:rPr>
      <w:b/>
      <w:i/>
      <w:sz w:val="28"/>
      <w:lang w:val="pt-BR" w:eastAsia="pt-BR" w:bidi="ar-SA"/>
    </w:rPr>
  </w:style>
  <w:style w:type="paragraph" w:styleId="80">
    <w:name w:val="No Spacing"/>
    <w:link w:val="176"/>
    <w:qFormat/>
    <w:uiPriority w:val="0"/>
    <w:rPr>
      <w:rFonts w:ascii="Times New Roman" w:hAnsi="Times New Roman" w:eastAsia="Times New Roman" w:cs="Times New Roman"/>
      <w:sz w:val="24"/>
      <w:szCs w:val="24"/>
      <w:lang w:val="pt-BR" w:eastAsia="pt-BR" w:bidi="ar-SA"/>
    </w:rPr>
  </w:style>
  <w:style w:type="character" w:customStyle="1" w:styleId="81">
    <w:name w:val="Texto de balão Char"/>
    <w:basedOn w:val="11"/>
    <w:link w:val="42"/>
    <w:qFormat/>
    <w:uiPriority w:val="99"/>
    <w:rPr>
      <w:rFonts w:ascii="Tahoma" w:hAnsi="Tahoma" w:cs="Tahoma"/>
      <w:sz w:val="16"/>
      <w:szCs w:val="16"/>
    </w:rPr>
  </w:style>
  <w:style w:type="paragraph" w:customStyle="1" w:styleId="82">
    <w:name w:val="western"/>
    <w:basedOn w:val="1"/>
    <w:qFormat/>
    <w:uiPriority w:val="0"/>
    <w:pPr>
      <w:spacing w:before="100" w:beforeAutospacing="1" w:after="100" w:afterAutospacing="1"/>
    </w:pPr>
    <w:rPr>
      <w:sz w:val="24"/>
      <w:szCs w:val="24"/>
    </w:rPr>
  </w:style>
  <w:style w:type="paragraph" w:styleId="83">
    <w:name w:val="List Paragraph"/>
    <w:basedOn w:val="1"/>
    <w:link w:val="180"/>
    <w:qFormat/>
    <w:uiPriority w:val="1"/>
    <w:pPr>
      <w:ind w:left="720"/>
      <w:contextualSpacing/>
    </w:pPr>
    <w:rPr>
      <w:sz w:val="24"/>
      <w:szCs w:val="24"/>
    </w:rPr>
  </w:style>
  <w:style w:type="character" w:customStyle="1" w:styleId="84">
    <w:name w:val="Texto sem Formatação Char"/>
    <w:basedOn w:val="11"/>
    <w:link w:val="31"/>
    <w:qFormat/>
    <w:uiPriority w:val="0"/>
    <w:rPr>
      <w:rFonts w:ascii="Courier New" w:hAnsi="Courier New"/>
    </w:rPr>
  </w:style>
  <w:style w:type="character" w:customStyle="1" w:styleId="85">
    <w:name w:val="Normal (Web) Char"/>
    <w:basedOn w:val="11"/>
    <w:link w:val="29"/>
    <w:qFormat/>
    <w:locked/>
    <w:uiPriority w:val="99"/>
    <w:rPr>
      <w:sz w:val="24"/>
    </w:rPr>
  </w:style>
  <w:style w:type="character" w:customStyle="1" w:styleId="86">
    <w:name w:val="Corpo de texto 3 Char"/>
    <w:basedOn w:val="11"/>
    <w:link w:val="32"/>
    <w:qFormat/>
    <w:uiPriority w:val="0"/>
    <w:rPr>
      <w:b/>
      <w:sz w:val="18"/>
    </w:rPr>
  </w:style>
  <w:style w:type="character" w:customStyle="1" w:styleId="87">
    <w:name w:val="Recuo de corpo de texto 3 Char"/>
    <w:link w:val="40"/>
    <w:qFormat/>
    <w:uiPriority w:val="0"/>
    <w:rPr>
      <w:sz w:val="24"/>
    </w:rPr>
  </w:style>
  <w:style w:type="character" w:customStyle="1" w:styleId="88">
    <w:name w:val="Normal (Web) Char1"/>
    <w:qFormat/>
    <w:uiPriority w:val="0"/>
    <w:rPr>
      <w:sz w:val="24"/>
    </w:rPr>
  </w:style>
  <w:style w:type="character" w:customStyle="1" w:styleId="89">
    <w:name w:val="WW8Num5z0"/>
    <w:qFormat/>
    <w:uiPriority w:val="0"/>
    <w:rPr>
      <w:sz w:val="24"/>
    </w:rPr>
  </w:style>
  <w:style w:type="character" w:customStyle="1" w:styleId="90">
    <w:name w:val="WW8Num11z0"/>
    <w:qFormat/>
    <w:uiPriority w:val="0"/>
    <w:rPr>
      <w:b/>
    </w:rPr>
  </w:style>
  <w:style w:type="character" w:customStyle="1" w:styleId="91">
    <w:name w:val="Absatz-Standardschriftart"/>
    <w:qFormat/>
    <w:uiPriority w:val="0"/>
  </w:style>
  <w:style w:type="character" w:customStyle="1" w:styleId="92">
    <w:name w:val="WW-Absatz-Standardschriftart"/>
    <w:qFormat/>
    <w:uiPriority w:val="0"/>
  </w:style>
  <w:style w:type="character" w:customStyle="1" w:styleId="93">
    <w:name w:val="WW8Num1z1"/>
    <w:qFormat/>
    <w:uiPriority w:val="0"/>
    <w:rPr>
      <w:rFonts w:ascii="Courier New" w:hAnsi="Courier New" w:cs="Courier New"/>
    </w:rPr>
  </w:style>
  <w:style w:type="character" w:customStyle="1" w:styleId="94">
    <w:name w:val="WW8Num1z2"/>
    <w:qFormat/>
    <w:uiPriority w:val="0"/>
    <w:rPr>
      <w:rFonts w:ascii="Wingdings" w:hAnsi="Wingdings" w:cs="Wingdings"/>
    </w:rPr>
  </w:style>
  <w:style w:type="character" w:customStyle="1" w:styleId="95">
    <w:name w:val="WW8Num1z3"/>
    <w:qFormat/>
    <w:uiPriority w:val="0"/>
    <w:rPr>
      <w:rFonts w:ascii="Symbol" w:hAnsi="Symbol" w:cs="Symbol"/>
    </w:rPr>
  </w:style>
  <w:style w:type="character" w:customStyle="1" w:styleId="96">
    <w:name w:val="WW8Num7z0"/>
    <w:qFormat/>
    <w:uiPriority w:val="0"/>
    <w:rPr>
      <w:rFonts w:ascii="Symbol" w:hAnsi="Symbol" w:cs="Symbol"/>
    </w:rPr>
  </w:style>
  <w:style w:type="character" w:customStyle="1" w:styleId="97">
    <w:name w:val="WW8Num7z1"/>
    <w:qFormat/>
    <w:uiPriority w:val="0"/>
    <w:rPr>
      <w:rFonts w:ascii="Courier New" w:hAnsi="Courier New" w:cs="Courier New"/>
    </w:rPr>
  </w:style>
  <w:style w:type="character" w:customStyle="1" w:styleId="98">
    <w:name w:val="WW8Num7z2"/>
    <w:qFormat/>
    <w:uiPriority w:val="0"/>
    <w:rPr>
      <w:rFonts w:ascii="Wingdings" w:hAnsi="Wingdings" w:cs="Wingdings"/>
    </w:rPr>
  </w:style>
  <w:style w:type="character" w:customStyle="1" w:styleId="99">
    <w:name w:val="WW8Num12z0"/>
    <w:qFormat/>
    <w:uiPriority w:val="0"/>
    <w:rPr>
      <w:rFonts w:ascii="Symbol" w:hAnsi="Symbol" w:cs="Symbol"/>
    </w:rPr>
  </w:style>
  <w:style w:type="character" w:customStyle="1" w:styleId="100">
    <w:name w:val="WW8Num12z1"/>
    <w:qFormat/>
    <w:uiPriority w:val="0"/>
    <w:rPr>
      <w:rFonts w:ascii="Courier New" w:hAnsi="Courier New" w:cs="Courier New"/>
    </w:rPr>
  </w:style>
  <w:style w:type="character" w:customStyle="1" w:styleId="101">
    <w:name w:val="WW8Num12z2"/>
    <w:qFormat/>
    <w:uiPriority w:val="0"/>
    <w:rPr>
      <w:rFonts w:ascii="Wingdings" w:hAnsi="Wingdings" w:cs="Wingdings"/>
    </w:rPr>
  </w:style>
  <w:style w:type="character" w:customStyle="1" w:styleId="102">
    <w:name w:val="WW8Num13z0"/>
    <w:qFormat/>
    <w:uiPriority w:val="0"/>
    <w:rPr>
      <w:sz w:val="24"/>
    </w:rPr>
  </w:style>
  <w:style w:type="character" w:customStyle="1" w:styleId="103">
    <w:name w:val="WW8Num14z1"/>
    <w:qFormat/>
    <w:uiPriority w:val="0"/>
    <w:rPr>
      <w:rFonts w:ascii="Courier New" w:hAnsi="Courier New" w:cs="Courier New"/>
    </w:rPr>
  </w:style>
  <w:style w:type="character" w:customStyle="1" w:styleId="104">
    <w:name w:val="WW8Num14z2"/>
    <w:qFormat/>
    <w:uiPriority w:val="0"/>
    <w:rPr>
      <w:rFonts w:ascii="Wingdings" w:hAnsi="Wingdings" w:cs="Wingdings"/>
    </w:rPr>
  </w:style>
  <w:style w:type="character" w:customStyle="1" w:styleId="105">
    <w:name w:val="WW8Num14z3"/>
    <w:qFormat/>
    <w:uiPriority w:val="0"/>
    <w:rPr>
      <w:rFonts w:ascii="Symbol" w:hAnsi="Symbol" w:cs="Symbol"/>
    </w:rPr>
  </w:style>
  <w:style w:type="character" w:customStyle="1" w:styleId="106">
    <w:name w:val="WW8Num20z0"/>
    <w:qFormat/>
    <w:uiPriority w:val="0"/>
    <w:rPr>
      <w:rFonts w:ascii="Symbol" w:hAnsi="Symbol" w:cs="Symbol"/>
    </w:rPr>
  </w:style>
  <w:style w:type="character" w:customStyle="1" w:styleId="107">
    <w:name w:val="WW8Num20z1"/>
    <w:qFormat/>
    <w:uiPriority w:val="0"/>
    <w:rPr>
      <w:rFonts w:ascii="Courier New" w:hAnsi="Courier New" w:cs="Courier New"/>
    </w:rPr>
  </w:style>
  <w:style w:type="character" w:customStyle="1" w:styleId="108">
    <w:name w:val="WW8Num20z2"/>
    <w:qFormat/>
    <w:uiPriority w:val="0"/>
    <w:rPr>
      <w:rFonts w:ascii="Wingdings" w:hAnsi="Wingdings" w:cs="Wingdings"/>
    </w:rPr>
  </w:style>
  <w:style w:type="character" w:customStyle="1" w:styleId="109">
    <w:name w:val="Fonte parág. padrão1"/>
    <w:qFormat/>
    <w:uiPriority w:val="0"/>
  </w:style>
  <w:style w:type="character" w:customStyle="1" w:styleId="110">
    <w:name w:val="A1"/>
    <w:qFormat/>
    <w:uiPriority w:val="0"/>
    <w:rPr>
      <w:rFonts w:cs="Futura Lt BT"/>
      <w:color w:val="211D1E"/>
      <w:sz w:val="16"/>
      <w:szCs w:val="16"/>
    </w:rPr>
  </w:style>
  <w:style w:type="character" w:customStyle="1" w:styleId="111">
    <w:name w:val="Ref. de comentário1"/>
    <w:qFormat/>
    <w:uiPriority w:val="0"/>
    <w:rPr>
      <w:sz w:val="16"/>
      <w:szCs w:val="16"/>
    </w:rPr>
  </w:style>
  <w:style w:type="character" w:customStyle="1" w:styleId="112">
    <w:name w:val="Caracteres da nota de rodapé"/>
    <w:qFormat/>
    <w:uiPriority w:val="0"/>
    <w:rPr>
      <w:vertAlign w:val="superscript"/>
    </w:rPr>
  </w:style>
  <w:style w:type="character" w:customStyle="1" w:styleId="113">
    <w:name w:val="Texto de nota de rodapé Char"/>
    <w:basedOn w:val="109"/>
    <w:qFormat/>
    <w:uiPriority w:val="0"/>
  </w:style>
  <w:style w:type="character" w:customStyle="1" w:styleId="114">
    <w:name w:val="apple-converted-space"/>
    <w:basedOn w:val="109"/>
    <w:qFormat/>
    <w:uiPriority w:val="0"/>
  </w:style>
  <w:style w:type="character" w:customStyle="1" w:styleId="115">
    <w:name w:val="apple-style-span"/>
    <w:basedOn w:val="109"/>
    <w:qFormat/>
    <w:uiPriority w:val="0"/>
  </w:style>
  <w:style w:type="character" w:customStyle="1" w:styleId="116">
    <w:name w:val="Recuo de corpo de texto 2 Char"/>
    <w:qFormat/>
    <w:uiPriority w:val="0"/>
    <w:rPr>
      <w:sz w:val="24"/>
      <w:szCs w:val="24"/>
    </w:rPr>
  </w:style>
  <w:style w:type="character" w:customStyle="1" w:styleId="117">
    <w:name w:val="Corpo de texto 2 Char"/>
    <w:qFormat/>
    <w:uiPriority w:val="0"/>
    <w:rPr>
      <w:sz w:val="24"/>
      <w:szCs w:val="24"/>
    </w:rPr>
  </w:style>
  <w:style w:type="character" w:customStyle="1" w:styleId="118">
    <w:name w:val="Caracteres de nota final"/>
    <w:qFormat/>
    <w:uiPriority w:val="0"/>
    <w:rPr>
      <w:vertAlign w:val="superscript"/>
    </w:rPr>
  </w:style>
  <w:style w:type="character" w:customStyle="1" w:styleId="119">
    <w:name w:val="WW-Caracteres de nota final"/>
    <w:qFormat/>
    <w:uiPriority w:val="0"/>
  </w:style>
  <w:style w:type="character" w:customStyle="1" w:styleId="120">
    <w:name w:val="Fonte parág. padrão2"/>
    <w:qFormat/>
    <w:uiPriority w:val="0"/>
  </w:style>
  <w:style w:type="character" w:customStyle="1" w:styleId="121">
    <w:name w:val="Ref. de nota de rodapé1"/>
    <w:qFormat/>
    <w:uiPriority w:val="0"/>
    <w:rPr>
      <w:vertAlign w:val="superscript"/>
    </w:rPr>
  </w:style>
  <w:style w:type="character" w:customStyle="1" w:styleId="122">
    <w:name w:val="WW8Num40z0"/>
    <w:qFormat/>
    <w:uiPriority w:val="0"/>
    <w:rPr>
      <w:b/>
    </w:rPr>
  </w:style>
  <w:style w:type="paragraph" w:customStyle="1" w:styleId="123">
    <w:name w:val="Título1"/>
    <w:basedOn w:val="1"/>
    <w:next w:val="22"/>
    <w:qFormat/>
    <w:uiPriority w:val="0"/>
    <w:pPr>
      <w:keepNext/>
      <w:suppressAutoHyphens/>
      <w:spacing w:before="240" w:after="120"/>
    </w:pPr>
    <w:rPr>
      <w:rFonts w:ascii="Arial" w:hAnsi="Arial" w:eastAsia="Arial Unicode MS" w:cs="Arial Unicode MS"/>
      <w:sz w:val="28"/>
      <w:szCs w:val="28"/>
      <w:lang w:eastAsia="zh-CN"/>
    </w:rPr>
  </w:style>
  <w:style w:type="paragraph" w:customStyle="1" w:styleId="124">
    <w:name w:val="Índice"/>
    <w:basedOn w:val="1"/>
    <w:qFormat/>
    <w:uiPriority w:val="0"/>
    <w:pPr>
      <w:suppressLineNumbers/>
      <w:suppressAutoHyphens/>
    </w:pPr>
    <w:rPr>
      <w:sz w:val="24"/>
      <w:szCs w:val="24"/>
      <w:lang w:eastAsia="zh-CN"/>
    </w:rPr>
  </w:style>
  <w:style w:type="paragraph" w:customStyle="1" w:styleId="125">
    <w:name w:val="Recuo de corpo de texto 31"/>
    <w:basedOn w:val="1"/>
    <w:qFormat/>
    <w:uiPriority w:val="0"/>
    <w:pPr>
      <w:suppressAutoHyphens/>
      <w:spacing w:line="312" w:lineRule="auto"/>
      <w:ind w:firstLine="2160"/>
      <w:jc w:val="both"/>
    </w:pPr>
    <w:rPr>
      <w:sz w:val="24"/>
      <w:szCs w:val="24"/>
      <w:lang w:eastAsia="zh-CN"/>
    </w:rPr>
  </w:style>
  <w:style w:type="paragraph" w:customStyle="1" w:styleId="126">
    <w:name w:val="Texto de comentário1"/>
    <w:basedOn w:val="1"/>
    <w:qFormat/>
    <w:uiPriority w:val="0"/>
    <w:pPr>
      <w:suppressAutoHyphens/>
    </w:pPr>
    <w:rPr>
      <w:lang w:eastAsia="zh-CN"/>
    </w:rPr>
  </w:style>
  <w:style w:type="paragraph" w:customStyle="1" w:styleId="127">
    <w:name w:val="Recuo de corpo de texto 21"/>
    <w:basedOn w:val="1"/>
    <w:qFormat/>
    <w:uiPriority w:val="0"/>
    <w:pPr>
      <w:suppressAutoHyphens/>
      <w:spacing w:after="120" w:line="480" w:lineRule="auto"/>
      <w:ind w:left="283"/>
    </w:pPr>
    <w:rPr>
      <w:sz w:val="24"/>
      <w:szCs w:val="24"/>
      <w:lang w:eastAsia="zh-CN"/>
    </w:rPr>
  </w:style>
  <w:style w:type="paragraph" w:customStyle="1" w:styleId="128">
    <w:name w:val="Conteúdo da tabela"/>
    <w:basedOn w:val="1"/>
    <w:qFormat/>
    <w:uiPriority w:val="0"/>
    <w:pPr>
      <w:suppressLineNumbers/>
      <w:suppressAutoHyphens/>
    </w:pPr>
    <w:rPr>
      <w:sz w:val="24"/>
      <w:szCs w:val="24"/>
      <w:lang w:eastAsia="zh-CN"/>
    </w:rPr>
  </w:style>
  <w:style w:type="paragraph" w:customStyle="1" w:styleId="129">
    <w:name w:val="Título da tabela"/>
    <w:basedOn w:val="128"/>
    <w:qFormat/>
    <w:uiPriority w:val="0"/>
    <w:pPr>
      <w:jc w:val="center"/>
    </w:pPr>
    <w:rPr>
      <w:b/>
    </w:rPr>
  </w:style>
  <w:style w:type="paragraph" w:customStyle="1" w:styleId="130">
    <w:name w:val="Conteúdo da moldura"/>
    <w:basedOn w:val="22"/>
    <w:qFormat/>
    <w:uiPriority w:val="0"/>
    <w:pPr>
      <w:suppressAutoHyphens/>
      <w:spacing w:after="120"/>
      <w:jc w:val="left"/>
    </w:pPr>
    <w:rPr>
      <w:szCs w:val="24"/>
      <w:lang w:eastAsia="zh-CN"/>
    </w:rPr>
  </w:style>
  <w:style w:type="paragraph" w:customStyle="1" w:styleId="131">
    <w:name w:val="Texto de nota de rodapé1"/>
    <w:basedOn w:val="1"/>
    <w:qFormat/>
    <w:uiPriority w:val="0"/>
    <w:pPr>
      <w:suppressAutoHyphens/>
    </w:pPr>
    <w:rPr>
      <w:sz w:val="24"/>
      <w:szCs w:val="24"/>
      <w:lang w:eastAsia="zh-CN"/>
    </w:rPr>
  </w:style>
  <w:style w:type="paragraph" w:customStyle="1" w:styleId="132">
    <w:name w:val="Parágrafo da Lista1"/>
    <w:basedOn w:val="1"/>
    <w:qFormat/>
    <w:uiPriority w:val="0"/>
    <w:pPr>
      <w:ind w:left="720"/>
    </w:pPr>
  </w:style>
  <w:style w:type="table" w:customStyle="1" w:styleId="133">
    <w:name w:val="Lista Clara1"/>
    <w:basedOn w:val="12"/>
    <w:qFormat/>
    <w:uiPriority w:val="61"/>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34">
    <w:name w:val="Sombreamento Médio 21"/>
    <w:basedOn w:val="12"/>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000000"/>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000000"/>
      </w:tcPr>
    </w:tblStylePr>
    <w:tblStylePr w:type="lastCol">
      <w:rPr>
        <w:b/>
        <w:bCs/>
        <w:color w:val="FFFFFF"/>
      </w:rPr>
      <w:tcPr>
        <w:tcBorders>
          <w:left w:val="nil"/>
          <w:right w:val="nil"/>
          <w:insideH w:val="nil"/>
          <w:insideV w:val="nil"/>
        </w:tcBorders>
        <w:shd w:val="clear" w:color="auto" w:fill="000000"/>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35">
    <w:name w:val="Lista Média 21"/>
    <w:basedOn w:val="12"/>
    <w:qFormat/>
    <w:uiPriority w:val="66"/>
    <w:rPr>
      <w:rFonts w:ascii="Cambria" w:hAnsi="Cambria" w:eastAsia="MS Gothic"/>
      <w:color w:val="000000"/>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rPr>
        <w:sz w:val="24"/>
        <w:szCs w:val="24"/>
      </w:rPr>
      <w:tcPr>
        <w:tcBorders>
          <w:top w:val="nil"/>
          <w:left w:val="nil"/>
          <w:bottom w:val="single" w:color="000000" w:sz="24" w:space="0"/>
          <w:right w:val="nil"/>
          <w:insideH w:val="nil"/>
          <w:insideV w:val="nil"/>
        </w:tcBorders>
        <w:shd w:val="clear" w:color="auto" w:fill="FFFFFF"/>
      </w:tcPr>
    </w:tblStylePr>
    <w:tblStylePr w:type="lastRow">
      <w:tcPr>
        <w:tcBorders>
          <w:top w:val="single" w:color="000000" w:sz="8" w:space="0"/>
          <w:left w:val="nil"/>
          <w:bottom w:val="nil"/>
          <w:right w:val="nil"/>
          <w:insideH w:val="nil"/>
          <w:insideV w:val="nil"/>
        </w:tcBorders>
        <w:shd w:val="clear" w:color="auto" w:fill="FFFFFF"/>
      </w:tcPr>
    </w:tblStylePr>
    <w:tblStylePr w:type="firstCol">
      <w:tcPr>
        <w:tcBorders>
          <w:top w:val="nil"/>
          <w:left w:val="nil"/>
          <w:bottom w:val="nil"/>
          <w:right w:val="single" w:color="000000" w:sz="8" w:space="0"/>
          <w:insideH w:val="nil"/>
          <w:insideV w:val="nil"/>
        </w:tcBorders>
        <w:shd w:val="clear" w:color="auto" w:fill="FFFFFF"/>
      </w:tcPr>
    </w:tblStylePr>
    <w:tblStylePr w:type="lastCol">
      <w:tcPr>
        <w:tcBorders>
          <w:top w:val="nil"/>
          <w:left w:val="single" w:color="000000" w:sz="8" w:space="0"/>
          <w:bottom w:val="nil"/>
          <w:right w:val="nil"/>
          <w:insideH w:val="nil"/>
          <w:insideV w:val="nil"/>
        </w:tcBorders>
        <w:shd w:val="clear" w:color="auto" w:fill="FFFFFF"/>
      </w:tcPr>
    </w:tblStylePr>
    <w:tblStylePr w:type="band1Vert">
      <w:tcPr>
        <w:tcBorders>
          <w:left w:val="nil"/>
          <w:right w:val="nil"/>
          <w:insideH w:val="nil"/>
          <w:insideV w:val="nil"/>
        </w:tcBorders>
        <w:shd w:val="clear" w:color="auto" w:fill="C0C0C0"/>
      </w:tcPr>
    </w:tblStylePr>
    <w:tblStylePr w:type="band1Horz">
      <w:tcPr>
        <w:tcBorders>
          <w:top w:val="nil"/>
          <w:bottom w:val="nil"/>
          <w:insideH w:val="nil"/>
          <w:insideV w:val="nil"/>
        </w:tcBorders>
        <w:shd w:val="clear" w:color="auto" w:fill="C0C0C0"/>
      </w:tcPr>
    </w:tblStylePr>
    <w:tblStylePr w:type="nwCell">
      <w:tcPr>
        <w:shd w:val="clear" w:color="auto" w:fill="FFFFFF"/>
      </w:tcPr>
    </w:tblStylePr>
    <w:tblStylePr w:type="swCell">
      <w:tcPr>
        <w:tcBorders>
          <w:top w:val="nil"/>
        </w:tcBorders>
      </w:tcPr>
    </w:tblStylePr>
  </w:style>
  <w:style w:type="table" w:customStyle="1" w:styleId="136">
    <w:name w:val="Sombreamento Claro1"/>
    <w:basedOn w:val="12"/>
    <w:qFormat/>
    <w:uiPriority w:val="60"/>
    <w:rPr>
      <w:color w:val="00000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table" w:customStyle="1" w:styleId="137">
    <w:name w:val="Sombreamento Claro - Ênfase 11"/>
    <w:basedOn w:val="12"/>
    <w:qFormat/>
    <w:uiPriority w:val="60"/>
    <w:rPr>
      <w:color w:val="365F91"/>
    </w:rPr>
    <w:tblPr>
      <w:tblBorders>
        <w:top w:val="single" w:color="4F81BD" w:sz="8" w:space="0"/>
        <w:bottom w:val="single" w:color="4F81BD"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4F81BD" w:sz="8" w:space="0"/>
          <w:left w:val="nil"/>
          <w:bottom w:val="single" w:color="4F81BD" w:sz="8" w:space="0"/>
          <w:right w:val="nil"/>
          <w:insideH w:val="nil"/>
          <w:insideV w:val="nil"/>
        </w:tcBorders>
      </w:tcPr>
    </w:tblStylePr>
    <w:tblStylePr w:type="lastRow">
      <w:pPr>
        <w:spacing w:before="0" w:after="0" w:line="240" w:lineRule="auto"/>
      </w:pPr>
      <w:rPr>
        <w:b/>
        <w:bCs/>
      </w:rPr>
      <w:tcPr>
        <w:tcBorders>
          <w:top w:val="single" w:color="4F81BD" w:sz="8" w:space="0"/>
          <w:left w:val="nil"/>
          <w:bottom w:val="single" w:color="4F81BD"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3DFEE"/>
      </w:tcPr>
    </w:tblStylePr>
    <w:tblStylePr w:type="band1Horz">
      <w:tcPr>
        <w:tcBorders>
          <w:left w:val="nil"/>
          <w:right w:val="nil"/>
          <w:insideH w:val="nil"/>
          <w:insideV w:val="nil"/>
        </w:tcBorders>
        <w:shd w:val="clear" w:color="auto" w:fill="D3DFEE"/>
      </w:tcPr>
    </w:tblStylePr>
  </w:style>
  <w:style w:type="table" w:customStyle="1" w:styleId="138">
    <w:name w:val="Lista Clara - Ênfase 11"/>
    <w:basedOn w:val="12"/>
    <w:qFormat/>
    <w:uiPriority w:val="61"/>
    <w:tblPr>
      <w:tblBorders>
        <w:top w:val="single" w:color="4F81BD" w:sz="8" w:space="0"/>
        <w:left w:val="single" w:color="4F81BD" w:sz="8" w:space="0"/>
        <w:bottom w:val="single" w:color="4F81BD" w:sz="8" w:space="0"/>
        <w:right w:val="single" w:color="4F81BD"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4F81BD"/>
      </w:tcPr>
    </w:tblStylePr>
    <w:tblStylePr w:type="lastRow">
      <w:pPr>
        <w:spacing w:before="0" w:after="0" w:line="240" w:lineRule="auto"/>
      </w:pPr>
      <w:rPr>
        <w:b/>
        <w:bCs/>
      </w:r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cPr>
        <w:tcBorders>
          <w:top w:val="single" w:color="4F81BD" w:sz="8" w:space="0"/>
          <w:left w:val="single" w:color="4F81BD" w:sz="8" w:space="0"/>
          <w:bottom w:val="single" w:color="4F81BD" w:sz="8" w:space="0"/>
          <w:right w:val="single" w:color="4F81BD" w:sz="8" w:space="0"/>
        </w:tcBorders>
      </w:tcPr>
    </w:tblStylePr>
    <w:tblStylePr w:type="band1Horz">
      <w:tcPr>
        <w:tcBorders>
          <w:top w:val="single" w:color="4F81BD" w:sz="8" w:space="0"/>
          <w:left w:val="single" w:color="4F81BD" w:sz="8" w:space="0"/>
          <w:bottom w:val="single" w:color="4F81BD" w:sz="8" w:space="0"/>
          <w:right w:val="single" w:color="4F81BD" w:sz="8" w:space="0"/>
        </w:tcBorders>
      </w:tcPr>
    </w:tblStylePr>
  </w:style>
  <w:style w:type="paragraph" w:customStyle="1" w:styleId="139">
    <w:name w:val="TxBr_p0"/>
    <w:basedOn w:val="1"/>
    <w:qFormat/>
    <w:uiPriority w:val="0"/>
    <w:pPr>
      <w:widowControl w:val="0"/>
      <w:tabs>
        <w:tab w:val="left" w:pos="204"/>
      </w:tabs>
      <w:suppressAutoHyphens/>
      <w:autoSpaceDE w:val="0"/>
      <w:spacing w:line="240" w:lineRule="atLeast"/>
      <w:jc w:val="both"/>
    </w:pPr>
    <w:rPr>
      <w:sz w:val="24"/>
      <w:szCs w:val="24"/>
      <w:lang w:val="en-US" w:eastAsia="ar-SA"/>
    </w:rPr>
  </w:style>
  <w:style w:type="character" w:customStyle="1" w:styleId="140">
    <w:name w:val="st1"/>
    <w:basedOn w:val="11"/>
    <w:qFormat/>
    <w:uiPriority w:val="0"/>
  </w:style>
  <w:style w:type="character" w:customStyle="1" w:styleId="141">
    <w:name w:val="Recuo de corpo de texto Char"/>
    <w:link w:val="47"/>
    <w:qFormat/>
    <w:uiPriority w:val="0"/>
    <w:rPr>
      <w:b/>
      <w:sz w:val="24"/>
    </w:rPr>
  </w:style>
  <w:style w:type="character" w:customStyle="1" w:styleId="142">
    <w:name w:val="Corpo de texto 2 Char1"/>
    <w:basedOn w:val="11"/>
    <w:link w:val="33"/>
    <w:qFormat/>
    <w:uiPriority w:val="0"/>
    <w:rPr>
      <w:b/>
    </w:rPr>
  </w:style>
  <w:style w:type="character" w:customStyle="1" w:styleId="143">
    <w:name w:val="Corpo de texto 21 Char"/>
    <w:link w:val="64"/>
    <w:qFormat/>
    <w:uiPriority w:val="0"/>
    <w:rPr>
      <w:sz w:val="24"/>
    </w:rPr>
  </w:style>
  <w:style w:type="table" w:customStyle="1" w:styleId="144">
    <w:name w:val="Sombreamento Claro - Ênfase 12"/>
    <w:basedOn w:val="12"/>
    <w:qFormat/>
    <w:uiPriority w:val="60"/>
    <w:rPr>
      <w:color w:val="366091"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3DFEE" w:themeFill="accent1" w:themeFillTint="3F"/>
      </w:tcPr>
    </w:tblStylePr>
    <w:tblStylePr w:type="band1Horz">
      <w:tcPr>
        <w:tcBorders>
          <w:left w:val="nil"/>
          <w:right w:val="nil"/>
          <w:insideH w:val="nil"/>
          <w:insideV w:val="nil"/>
        </w:tcBorders>
        <w:shd w:val="clear" w:color="auto" w:fill="D3DFEE" w:themeFill="accent1" w:themeFillTint="3F"/>
      </w:tcPr>
    </w:tblStylePr>
  </w:style>
  <w:style w:type="table" w:customStyle="1" w:styleId="145">
    <w:name w:val="Grade Clara - Ênfase 11"/>
    <w:basedOn w:val="12"/>
    <w:qFormat/>
    <w:uiPriority w:val="62"/>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paragraph" w:customStyle="1" w:styleId="146">
    <w:name w:val="Default"/>
    <w:qFormat/>
    <w:uiPriority w:val="0"/>
    <w:pPr>
      <w:autoSpaceDE w:val="0"/>
      <w:autoSpaceDN w:val="0"/>
      <w:adjustRightInd w:val="0"/>
    </w:pPr>
    <w:rPr>
      <w:rFonts w:ascii="Times New Roman" w:hAnsi="Times New Roman" w:eastAsia="Times New Roman" w:cs="Times New Roman"/>
      <w:color w:val="000000"/>
      <w:sz w:val="24"/>
      <w:szCs w:val="24"/>
      <w:lang w:val="pt-BR" w:eastAsia="pt-BR" w:bidi="ar-SA"/>
    </w:rPr>
  </w:style>
  <w:style w:type="paragraph" w:customStyle="1" w:styleId="147">
    <w:name w:val="Cabeçalho do Sumário1"/>
    <w:basedOn w:val="2"/>
    <w:next w:val="1"/>
    <w:unhideWhenUsed/>
    <w:qFormat/>
    <w:uiPriority w:val="39"/>
    <w:pPr>
      <w:keepLines/>
      <w:spacing w:before="480" w:line="276" w:lineRule="auto"/>
      <w:outlineLvl w:val="9"/>
    </w:pPr>
    <w:rPr>
      <w:rFonts w:ascii="Cambria" w:hAnsi="Cambria"/>
      <w:i w:val="0"/>
      <w:color w:val="365F91"/>
      <w:szCs w:val="28"/>
      <w:lang w:eastAsia="en-US"/>
    </w:rPr>
  </w:style>
  <w:style w:type="paragraph" w:customStyle="1" w:styleId="148">
    <w:name w:val="xl63"/>
    <w:basedOn w:val="1"/>
    <w:qFormat/>
    <w:uiPriority w:val="0"/>
    <w:pPr>
      <w:pBdr>
        <w:top w:val="single" w:color="000000" w:sz="4" w:space="0"/>
        <w:left w:val="single" w:color="000000" w:sz="4" w:space="0"/>
        <w:bottom w:val="single" w:color="000000" w:sz="4" w:space="0"/>
        <w:right w:val="single" w:color="000000" w:sz="4" w:space="0"/>
      </w:pBdr>
      <w:shd w:val="clear" w:color="000000" w:fill="0066CC"/>
      <w:spacing w:before="100" w:beforeAutospacing="1" w:after="100" w:afterAutospacing="1"/>
      <w:jc w:val="center"/>
      <w:textAlignment w:val="center"/>
    </w:pPr>
    <w:rPr>
      <w:rFonts w:ascii="Verdana" w:hAnsi="Verdana"/>
      <w:b/>
      <w:color w:val="FFFFFF"/>
      <w:sz w:val="16"/>
      <w:szCs w:val="16"/>
    </w:rPr>
  </w:style>
  <w:style w:type="paragraph" w:customStyle="1" w:styleId="149">
    <w:name w:val="xl64"/>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Calibri" w:hAnsi="Calibri" w:cs="Calibri"/>
      <w:b/>
      <w:color w:val="000000"/>
      <w:sz w:val="16"/>
      <w:szCs w:val="16"/>
    </w:rPr>
  </w:style>
  <w:style w:type="paragraph" w:customStyle="1" w:styleId="150">
    <w:name w:val="xl65"/>
    <w:basedOn w:val="1"/>
    <w:qFormat/>
    <w:uiPriority w:val="0"/>
    <w:pPr>
      <w:pBdr>
        <w:top w:val="single" w:color="000000" w:sz="4" w:space="0"/>
        <w:left w:val="single" w:color="000000" w:sz="4" w:space="0"/>
        <w:bottom w:val="single" w:color="000000" w:sz="4" w:space="0"/>
        <w:right w:val="single" w:color="000000" w:sz="4" w:space="0"/>
      </w:pBdr>
      <w:spacing w:before="100" w:beforeAutospacing="1" w:after="100" w:afterAutospacing="1"/>
      <w:jc w:val="center"/>
      <w:textAlignment w:val="center"/>
    </w:pPr>
    <w:rPr>
      <w:rFonts w:ascii="Calibri" w:hAnsi="Calibri" w:cs="Calibri"/>
      <w:b/>
      <w:color w:val="000000"/>
      <w:sz w:val="16"/>
      <w:szCs w:val="16"/>
    </w:rPr>
  </w:style>
  <w:style w:type="paragraph" w:customStyle="1" w:styleId="151">
    <w:name w:val="xl66"/>
    <w:basedOn w:val="1"/>
    <w:qFormat/>
    <w:uiPriority w:val="0"/>
    <w:pPr>
      <w:pBdr>
        <w:top w:val="single" w:color="000000" w:sz="4" w:space="0"/>
        <w:left w:val="single" w:color="000000" w:sz="4" w:space="0"/>
        <w:bottom w:val="single" w:color="000000" w:sz="4" w:space="0"/>
        <w:right w:val="single" w:color="000000" w:sz="4" w:space="0"/>
      </w:pBdr>
      <w:shd w:val="clear" w:color="000000" w:fill="CCCCFF"/>
      <w:spacing w:before="100" w:beforeAutospacing="1" w:after="100" w:afterAutospacing="1"/>
      <w:jc w:val="center"/>
      <w:textAlignment w:val="center"/>
    </w:pPr>
    <w:rPr>
      <w:rFonts w:ascii="Calibri" w:hAnsi="Calibri" w:cs="Calibri"/>
      <w:b/>
      <w:color w:val="000000"/>
      <w:sz w:val="16"/>
      <w:szCs w:val="16"/>
    </w:rPr>
  </w:style>
  <w:style w:type="paragraph" w:customStyle="1" w:styleId="152">
    <w:name w:val="xl67"/>
    <w:basedOn w:val="1"/>
    <w:qFormat/>
    <w:uiPriority w:val="0"/>
    <w:pPr>
      <w:pBdr>
        <w:top w:val="single" w:color="000000" w:sz="4" w:space="0"/>
        <w:left w:val="single" w:color="000000" w:sz="4" w:space="0"/>
        <w:bottom w:val="single" w:color="000000" w:sz="4" w:space="0"/>
        <w:right w:val="single" w:color="000000" w:sz="4" w:space="0"/>
      </w:pBdr>
      <w:shd w:val="clear" w:color="000000" w:fill="CCCCFF"/>
      <w:spacing w:before="100" w:beforeAutospacing="1" w:after="100" w:afterAutospacing="1"/>
      <w:jc w:val="center"/>
      <w:textAlignment w:val="center"/>
    </w:pPr>
    <w:rPr>
      <w:rFonts w:ascii="Calibri" w:hAnsi="Calibri" w:cs="Calibri"/>
      <w:b/>
      <w:color w:val="000000"/>
      <w:sz w:val="16"/>
      <w:szCs w:val="16"/>
    </w:rPr>
  </w:style>
  <w:style w:type="paragraph" w:customStyle="1" w:styleId="153">
    <w:name w:val="xl68"/>
    <w:basedOn w:val="1"/>
    <w:qFormat/>
    <w:uiPriority w:val="0"/>
    <w:pPr>
      <w:pBdr>
        <w:top w:val="single" w:color="000000" w:sz="4" w:space="0"/>
        <w:left w:val="single" w:color="000000" w:sz="4" w:space="0"/>
        <w:bottom w:val="single" w:color="000000" w:sz="4" w:space="0"/>
        <w:right w:val="single" w:color="000000" w:sz="4" w:space="0"/>
      </w:pBdr>
      <w:shd w:val="clear" w:color="000000" w:fill="808080"/>
      <w:spacing w:before="100" w:beforeAutospacing="1" w:after="100" w:afterAutospacing="1"/>
      <w:jc w:val="center"/>
      <w:textAlignment w:val="center"/>
    </w:pPr>
    <w:rPr>
      <w:rFonts w:ascii="Calibri" w:hAnsi="Calibri" w:cs="Calibri"/>
      <w:b/>
      <w:color w:val="FFFFFF"/>
      <w:sz w:val="16"/>
      <w:szCs w:val="16"/>
    </w:rPr>
  </w:style>
  <w:style w:type="paragraph" w:customStyle="1" w:styleId="154">
    <w:name w:val="xl69"/>
    <w:basedOn w:val="1"/>
    <w:qFormat/>
    <w:uiPriority w:val="0"/>
    <w:pPr>
      <w:spacing w:before="100" w:beforeAutospacing="1" w:after="100" w:afterAutospacing="1"/>
      <w:jc w:val="center"/>
      <w:textAlignment w:val="center"/>
    </w:pPr>
    <w:rPr>
      <w:rFonts w:ascii="Calibri" w:hAnsi="Calibri" w:cs="Calibri"/>
      <w:b/>
      <w:color w:val="000000"/>
      <w:sz w:val="24"/>
      <w:szCs w:val="24"/>
    </w:rPr>
  </w:style>
  <w:style w:type="paragraph" w:customStyle="1" w:styleId="155">
    <w:name w:val="xl70"/>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Cambria" w:hAnsi="Cambria"/>
      <w:b/>
      <w:color w:val="000000"/>
      <w:sz w:val="36"/>
      <w:szCs w:val="36"/>
    </w:rPr>
  </w:style>
  <w:style w:type="paragraph" w:customStyle="1" w:styleId="156">
    <w:name w:val="xl71"/>
    <w:basedOn w:val="1"/>
    <w:qFormat/>
    <w:uiPriority w:val="0"/>
    <w:pPr>
      <w:pBdr>
        <w:top w:val="single" w:color="auto" w:sz="8" w:space="0"/>
        <w:bottom w:val="single" w:color="auto" w:sz="8" w:space="0"/>
      </w:pBdr>
      <w:spacing w:before="100" w:beforeAutospacing="1" w:after="100" w:afterAutospacing="1"/>
      <w:jc w:val="center"/>
      <w:textAlignment w:val="center"/>
    </w:pPr>
    <w:rPr>
      <w:rFonts w:ascii="Cambria" w:hAnsi="Cambria"/>
      <w:b/>
      <w:color w:val="000000"/>
      <w:sz w:val="36"/>
      <w:szCs w:val="36"/>
    </w:rPr>
  </w:style>
  <w:style w:type="paragraph" w:customStyle="1" w:styleId="157">
    <w:name w:val="xl72"/>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Cambria" w:hAnsi="Cambria"/>
      <w:b/>
      <w:color w:val="000000"/>
      <w:sz w:val="36"/>
      <w:szCs w:val="36"/>
    </w:rPr>
  </w:style>
  <w:style w:type="paragraph" w:customStyle="1" w:styleId="158">
    <w:name w:val="CHAMEX"/>
    <w:qFormat/>
    <w:uiPriority w:val="0"/>
    <w:pPr>
      <w:jc w:val="both"/>
    </w:pPr>
    <w:rPr>
      <w:rFonts w:ascii="Times New Roman" w:hAnsi="Times New Roman" w:eastAsia="Times New Roman" w:cs="Times New Roman"/>
      <w:spacing w:val="15"/>
      <w:sz w:val="24"/>
      <w:szCs w:val="22"/>
      <w:lang w:val="pt-BR" w:eastAsia="pt-BR" w:bidi="ar-SA"/>
    </w:rPr>
  </w:style>
  <w:style w:type="character" w:customStyle="1" w:styleId="159">
    <w:name w:val="Título 9 Char"/>
    <w:basedOn w:val="11"/>
    <w:link w:val="10"/>
    <w:qFormat/>
    <w:uiPriority w:val="0"/>
    <w:rPr>
      <w:rFonts w:ascii="Arial" w:hAnsi="Arial" w:cs="Arial"/>
      <w:sz w:val="22"/>
      <w:szCs w:val="22"/>
    </w:rPr>
  </w:style>
  <w:style w:type="table" w:customStyle="1" w:styleId="160">
    <w:name w:val="Lista Clara2"/>
    <w:basedOn w:val="12"/>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cPr>
        <w:shd w:val="clear" w:color="auto" w:fill="000000" w:themeFill="text1"/>
      </w:tcPr>
    </w:tblStylePr>
    <w:tblStylePr w:type="lastRow">
      <w:pPr>
        <w:spacing w:before="0" w:after="0" w:line="240" w:lineRule="auto"/>
      </w:pPr>
      <w:rPr>
        <w:b/>
        <w:bCs/>
      </w:r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paragraph" w:customStyle="1" w:styleId="161">
    <w:name w:val="Corpo de texto 22"/>
    <w:basedOn w:val="1"/>
    <w:qFormat/>
    <w:uiPriority w:val="0"/>
    <w:rPr>
      <w:sz w:val="24"/>
    </w:rPr>
  </w:style>
  <w:style w:type="character" w:customStyle="1" w:styleId="162">
    <w:name w:val="Título 2 Char"/>
    <w:basedOn w:val="11"/>
    <w:link w:val="3"/>
    <w:qFormat/>
    <w:uiPriority w:val="0"/>
    <w:rPr>
      <w:b/>
    </w:rPr>
  </w:style>
  <w:style w:type="character" w:customStyle="1" w:styleId="163">
    <w:name w:val="Corpo de texto Char"/>
    <w:basedOn w:val="11"/>
    <w:link w:val="22"/>
    <w:qFormat/>
    <w:uiPriority w:val="0"/>
    <w:rPr>
      <w:sz w:val="24"/>
    </w:rPr>
  </w:style>
  <w:style w:type="paragraph" w:customStyle="1" w:styleId="164">
    <w:name w:val="WW-Normal (Web)"/>
    <w:basedOn w:val="1"/>
    <w:qFormat/>
    <w:uiPriority w:val="0"/>
    <w:pPr>
      <w:suppressAutoHyphens/>
      <w:overflowPunct w:val="0"/>
      <w:autoSpaceDE w:val="0"/>
      <w:autoSpaceDN w:val="0"/>
      <w:adjustRightInd w:val="0"/>
      <w:spacing w:before="100" w:after="100"/>
      <w:jc w:val="both"/>
      <w:textAlignment w:val="baseline"/>
    </w:pPr>
    <w:rPr>
      <w:sz w:val="24"/>
      <w:szCs w:val="24"/>
    </w:rPr>
  </w:style>
  <w:style w:type="character" w:customStyle="1" w:styleId="165">
    <w:name w:val="listaprodutoitem1"/>
    <w:qFormat/>
    <w:uiPriority w:val="0"/>
    <w:rPr>
      <w:rFonts w:hint="default" w:ascii="Arial" w:hAnsi="Arial" w:cs="Arial"/>
      <w:color w:val="333333"/>
      <w:sz w:val="15"/>
      <w:szCs w:val="15"/>
    </w:rPr>
  </w:style>
  <w:style w:type="character" w:customStyle="1" w:styleId="166">
    <w:name w:val="Título 3 Char"/>
    <w:link w:val="4"/>
    <w:qFormat/>
    <w:uiPriority w:val="0"/>
    <w:rPr>
      <w:b/>
      <w:sz w:val="24"/>
    </w:rPr>
  </w:style>
  <w:style w:type="character" w:customStyle="1" w:styleId="167">
    <w:name w:val="texto1"/>
    <w:qFormat/>
    <w:uiPriority w:val="0"/>
    <w:rPr>
      <w:rFonts w:ascii="Arial" w:hAnsi="Arial" w:cs="Arial"/>
      <w:color w:val="666666"/>
      <w:sz w:val="17"/>
      <w:szCs w:val="17"/>
    </w:rPr>
  </w:style>
  <w:style w:type="paragraph" w:customStyle="1" w:styleId="168">
    <w:name w:val="Normal1"/>
    <w:qFormat/>
    <w:uiPriority w:val="0"/>
    <w:pPr>
      <w:suppressAutoHyphens/>
      <w:autoSpaceDE w:val="0"/>
    </w:pPr>
    <w:rPr>
      <w:rFonts w:ascii="Verdana" w:hAnsi="Verdana" w:eastAsia="Calibri" w:cs="Verdana"/>
      <w:color w:val="000000"/>
      <w:sz w:val="24"/>
      <w:szCs w:val="24"/>
      <w:lang w:val="pt-BR" w:eastAsia="zh-CN" w:bidi="ar-SA"/>
    </w:rPr>
  </w:style>
  <w:style w:type="character" w:customStyle="1" w:styleId="169">
    <w:name w:val="Título 4 Char"/>
    <w:basedOn w:val="11"/>
    <w:link w:val="5"/>
    <w:qFormat/>
    <w:uiPriority w:val="0"/>
    <w:rPr>
      <w:b/>
      <w:sz w:val="24"/>
    </w:rPr>
  </w:style>
  <w:style w:type="character" w:customStyle="1" w:styleId="170">
    <w:name w:val="Título 5 Char"/>
    <w:basedOn w:val="11"/>
    <w:link w:val="6"/>
    <w:qFormat/>
    <w:uiPriority w:val="0"/>
    <w:rPr>
      <w:sz w:val="24"/>
    </w:rPr>
  </w:style>
  <w:style w:type="character" w:customStyle="1" w:styleId="171">
    <w:name w:val="Título 6 Char"/>
    <w:basedOn w:val="11"/>
    <w:link w:val="7"/>
    <w:qFormat/>
    <w:uiPriority w:val="0"/>
    <w:rPr>
      <w:sz w:val="24"/>
    </w:rPr>
  </w:style>
  <w:style w:type="character" w:customStyle="1" w:styleId="172">
    <w:name w:val="Título 7 Char"/>
    <w:basedOn w:val="11"/>
    <w:link w:val="8"/>
    <w:qFormat/>
    <w:uiPriority w:val="0"/>
    <w:rPr>
      <w:rFonts w:ascii="Arial" w:hAnsi="Arial" w:cs="Arial"/>
      <w:b/>
      <w:bCs/>
      <w:sz w:val="22"/>
    </w:rPr>
  </w:style>
  <w:style w:type="character" w:customStyle="1" w:styleId="173">
    <w:name w:val="Título 8 Char"/>
    <w:basedOn w:val="11"/>
    <w:link w:val="9"/>
    <w:qFormat/>
    <w:uiPriority w:val="0"/>
    <w:rPr>
      <w:b/>
      <w:sz w:val="24"/>
    </w:rPr>
  </w:style>
  <w:style w:type="character" w:customStyle="1" w:styleId="174">
    <w:name w:val="Mapa do Documento Char"/>
    <w:basedOn w:val="11"/>
    <w:link w:val="37"/>
    <w:qFormat/>
    <w:uiPriority w:val="0"/>
    <w:rPr>
      <w:rFonts w:ascii="Tahoma" w:hAnsi="Tahoma"/>
      <w:shd w:val="clear" w:color="auto" w:fill="000080"/>
    </w:rPr>
  </w:style>
  <w:style w:type="table" w:customStyle="1" w:styleId="175">
    <w:name w:val="Tabela com grade1"/>
    <w:basedOn w:val="12"/>
    <w:qFormat/>
    <w:uiPriority w:val="59"/>
    <w:rPr>
      <w:rFonts w:ascii="Calibri" w:hAnsi="Calibri" w:eastAsia="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176">
    <w:name w:val="Sem Espaçamento Char"/>
    <w:basedOn w:val="11"/>
    <w:link w:val="80"/>
    <w:qFormat/>
    <w:locked/>
    <w:uiPriority w:val="1"/>
    <w:rPr>
      <w:sz w:val="24"/>
      <w:szCs w:val="24"/>
    </w:rPr>
  </w:style>
  <w:style w:type="character" w:customStyle="1" w:styleId="177">
    <w:name w:val="Cabeçalho Char1"/>
    <w:basedOn w:val="11"/>
    <w:qFormat/>
    <w:locked/>
    <w:uiPriority w:val="0"/>
    <w:rPr>
      <w:rFonts w:cs="Times New Roman"/>
      <w:sz w:val="24"/>
      <w:szCs w:val="24"/>
      <w:lang w:val="pt-BR" w:eastAsia="ar-SA" w:bidi="ar-SA"/>
    </w:rPr>
  </w:style>
  <w:style w:type="paragraph" w:customStyle="1" w:styleId="178">
    <w:name w:val="a3"/>
    <w:basedOn w:val="1"/>
    <w:link w:val="179"/>
    <w:qFormat/>
    <w:uiPriority w:val="0"/>
    <w:pPr>
      <w:spacing w:line="360" w:lineRule="auto"/>
      <w:contextualSpacing/>
      <w:jc w:val="both"/>
    </w:pPr>
    <w:rPr>
      <w:sz w:val="24"/>
      <w:szCs w:val="24"/>
    </w:rPr>
  </w:style>
  <w:style w:type="character" w:customStyle="1" w:styleId="179">
    <w:name w:val="a3 Char"/>
    <w:basedOn w:val="11"/>
    <w:link w:val="178"/>
    <w:qFormat/>
    <w:uiPriority w:val="0"/>
    <w:rPr>
      <w:sz w:val="24"/>
      <w:szCs w:val="24"/>
    </w:rPr>
  </w:style>
  <w:style w:type="character" w:customStyle="1" w:styleId="180">
    <w:name w:val="Parágrafo da Lista Char"/>
    <w:link w:val="83"/>
    <w:qFormat/>
    <w:locked/>
    <w:uiPriority w:val="1"/>
    <w:rPr>
      <w:sz w:val="24"/>
      <w:szCs w:val="24"/>
    </w:rPr>
  </w:style>
  <w:style w:type="paragraph" w:customStyle="1" w:styleId="181">
    <w:name w:val="a2"/>
    <w:basedOn w:val="83"/>
    <w:link w:val="182"/>
    <w:qFormat/>
    <w:uiPriority w:val="0"/>
    <w:pPr>
      <w:numPr>
        <w:ilvl w:val="0"/>
        <w:numId w:val="3"/>
      </w:numPr>
      <w:spacing w:line="360" w:lineRule="auto"/>
      <w:jc w:val="both"/>
    </w:pPr>
  </w:style>
  <w:style w:type="character" w:customStyle="1" w:styleId="182">
    <w:name w:val="a2 Char"/>
    <w:basedOn w:val="11"/>
    <w:link w:val="181"/>
    <w:qFormat/>
    <w:uiPriority w:val="0"/>
    <w:rPr>
      <w:sz w:val="24"/>
      <w:szCs w:val="24"/>
    </w:rPr>
  </w:style>
  <w:style w:type="paragraph" w:customStyle="1" w:styleId="183">
    <w:name w:val="a4"/>
    <w:basedOn w:val="178"/>
    <w:link w:val="184"/>
    <w:qFormat/>
    <w:uiPriority w:val="0"/>
    <w:pPr>
      <w:ind w:left="3369"/>
    </w:pPr>
  </w:style>
  <w:style w:type="character" w:customStyle="1" w:styleId="184">
    <w:name w:val="a4 Char"/>
    <w:basedOn w:val="179"/>
    <w:link w:val="183"/>
    <w:qFormat/>
    <w:uiPriority w:val="0"/>
    <w:rPr>
      <w:sz w:val="24"/>
      <w:szCs w:val="24"/>
    </w:rPr>
  </w:style>
  <w:style w:type="character" w:customStyle="1" w:styleId="185">
    <w:name w:val="Corpo de texto Char1"/>
    <w:basedOn w:val="11"/>
    <w:qFormat/>
    <w:uiPriority w:val="0"/>
    <w:rPr>
      <w:sz w:val="24"/>
    </w:rPr>
  </w:style>
  <w:style w:type="character" w:customStyle="1" w:styleId="186">
    <w:name w:val="Char Char5"/>
    <w:basedOn w:val="11"/>
    <w:qFormat/>
    <w:uiPriority w:val="0"/>
    <w:rPr>
      <w:rFonts w:ascii="Times New Roman" w:hAnsi="Times New Roman" w:eastAsia="Times New Roman" w:cs="Times New Roman"/>
      <w:b/>
      <w:bCs/>
      <w:sz w:val="24"/>
      <w:szCs w:val="20"/>
      <w:u w:val="single"/>
      <w:lang w:eastAsia="pt-BR"/>
    </w:rPr>
  </w:style>
  <w:style w:type="character" w:customStyle="1" w:styleId="187">
    <w:name w:val="Title Char"/>
    <w:basedOn w:val="11"/>
    <w:qFormat/>
    <w:locked/>
    <w:uiPriority w:val="0"/>
    <w:rPr>
      <w:rFonts w:eastAsia="Calibri"/>
      <w:b/>
      <w:bCs/>
      <w:sz w:val="24"/>
      <w:szCs w:val="24"/>
      <w:u w:val="single"/>
      <w:lang w:val="pt-BR" w:eastAsia="pt-BR" w:bidi="ar-SA"/>
    </w:rPr>
  </w:style>
  <w:style w:type="character" w:styleId="188">
    <w:name w:val="Placeholder Text"/>
    <w:basedOn w:val="11"/>
    <w:semiHidden/>
    <w:qFormat/>
    <w:uiPriority w:val="99"/>
    <w:rPr>
      <w:color w:val="808080"/>
    </w:rPr>
  </w:style>
  <w:style w:type="paragraph" w:customStyle="1" w:styleId="189">
    <w:name w:val="xl45"/>
    <w:basedOn w:val="1"/>
    <w:qFormat/>
    <w:uiPriority w:val="0"/>
    <w:pPr>
      <w:pBdr>
        <w:top w:val="single" w:color="auto" w:sz="8" w:space="0"/>
      </w:pBdr>
      <w:spacing w:before="100" w:beforeAutospacing="1" w:after="100" w:afterAutospacing="1"/>
      <w:jc w:val="both"/>
    </w:pPr>
    <w:rPr>
      <w:rFonts w:ascii="Arial" w:hAnsi="Arial" w:eastAsia="Arial Unicode MS" w:cs="Arial"/>
      <w:b/>
    </w:rPr>
  </w:style>
  <w:style w:type="paragraph" w:customStyle="1" w:styleId="190">
    <w:name w:val="TxBr_c2"/>
    <w:basedOn w:val="1"/>
    <w:qFormat/>
    <w:uiPriority w:val="0"/>
    <w:pPr>
      <w:widowControl w:val="0"/>
      <w:autoSpaceDE w:val="0"/>
      <w:autoSpaceDN w:val="0"/>
      <w:spacing w:line="240" w:lineRule="atLeast"/>
      <w:jc w:val="center"/>
    </w:pPr>
    <w:rPr>
      <w:sz w:val="24"/>
      <w:szCs w:val="24"/>
      <w:lang w:val="en-US"/>
    </w:rPr>
  </w:style>
  <w:style w:type="paragraph" w:customStyle="1" w:styleId="191">
    <w:name w:val="WW-Corpo de texto 2"/>
    <w:basedOn w:val="1"/>
    <w:qFormat/>
    <w:uiPriority w:val="0"/>
    <w:pPr>
      <w:suppressAutoHyphens/>
      <w:spacing w:line="200" w:lineRule="atLeast"/>
      <w:jc w:val="both"/>
    </w:pPr>
    <w:rPr>
      <w:rFonts w:ascii="Arial" w:hAnsi="Arial" w:cs="Arial"/>
    </w:rPr>
  </w:style>
  <w:style w:type="paragraph" w:customStyle="1" w:styleId="192">
    <w:name w:val="Corpo de texto 32"/>
    <w:basedOn w:val="1"/>
    <w:qFormat/>
    <w:uiPriority w:val="0"/>
    <w:pPr>
      <w:jc w:val="both"/>
    </w:pPr>
    <w:rPr>
      <w:sz w:val="24"/>
    </w:rPr>
  </w:style>
  <w:style w:type="paragraph" w:customStyle="1" w:styleId="193">
    <w:name w:val="Corpo de texto 23"/>
    <w:basedOn w:val="1"/>
    <w:qFormat/>
    <w:uiPriority w:val="0"/>
    <w:rPr>
      <w:sz w:val="24"/>
    </w:rPr>
  </w:style>
  <w:style w:type="paragraph" w:customStyle="1" w:styleId="194">
    <w:name w:val="Corpo de texto 33"/>
    <w:basedOn w:val="1"/>
    <w:qFormat/>
    <w:uiPriority w:val="0"/>
    <w:pPr>
      <w:jc w:val="both"/>
    </w:pPr>
    <w:rPr>
      <w:sz w:val="24"/>
    </w:rPr>
  </w:style>
  <w:style w:type="character" w:customStyle="1" w:styleId="195">
    <w:name w:val="tex3b"/>
    <w:basedOn w:val="11"/>
    <w:qFormat/>
    <w:uiPriority w:val="0"/>
  </w:style>
  <w:style w:type="character" w:customStyle="1" w:styleId="196">
    <w:name w:val="tex3"/>
    <w:basedOn w:val="11"/>
    <w:qFormat/>
    <w:uiPriority w:val="0"/>
  </w:style>
  <w:style w:type="paragraph" w:customStyle="1" w:styleId="197">
    <w:name w:val="Estilo"/>
    <w:qFormat/>
    <w:uiPriority w:val="0"/>
    <w:pPr>
      <w:widowControl w:val="0"/>
      <w:autoSpaceDE w:val="0"/>
      <w:autoSpaceDN w:val="0"/>
      <w:adjustRightInd w:val="0"/>
    </w:pPr>
    <w:rPr>
      <w:rFonts w:ascii="Arial" w:hAnsi="Arial" w:eastAsia="Times New Roman" w:cs="Arial"/>
      <w:sz w:val="24"/>
      <w:szCs w:val="24"/>
      <w:lang w:val="pt-BR" w:eastAsia="pt-BR" w:bidi="ar-SA"/>
    </w:rPr>
  </w:style>
  <w:style w:type="paragraph" w:customStyle="1" w:styleId="198">
    <w:name w:val="Parágrafo da Lista2"/>
    <w:basedOn w:val="1"/>
    <w:qFormat/>
    <w:uiPriority w:val="0"/>
    <w:pPr>
      <w:ind w:left="720"/>
    </w:pPr>
    <w:rPr>
      <w:rFonts w:ascii="Cambria" w:hAnsi="Cambria" w:eastAsia="MS Minngs" w:cs="Cambria"/>
      <w:sz w:val="24"/>
      <w:szCs w:val="24"/>
      <w:lang w:eastAsia="en-US"/>
    </w:rPr>
  </w:style>
  <w:style w:type="paragraph" w:customStyle="1" w:styleId="199">
    <w:name w:val="xl41"/>
    <w:basedOn w:val="1"/>
    <w:qFormat/>
    <w:uiPriority w:val="0"/>
    <w:pPr>
      <w:pBdr>
        <w:right w:val="single" w:color="auto" w:sz="8" w:space="0"/>
      </w:pBdr>
      <w:shd w:val="clear" w:color="auto" w:fill="FFFFFF"/>
      <w:spacing w:before="100" w:beforeAutospacing="1" w:after="100" w:afterAutospacing="1"/>
      <w:jc w:val="center"/>
      <w:textAlignment w:val="center"/>
    </w:pPr>
    <w:rPr>
      <w:rFonts w:ascii="Arial" w:hAnsi="Arial" w:eastAsia="Arial Unicode MS" w:cs="Arial"/>
      <w:b/>
      <w:bCs/>
      <w:sz w:val="24"/>
      <w:szCs w:val="24"/>
    </w:rPr>
  </w:style>
  <w:style w:type="character" w:customStyle="1" w:styleId="200">
    <w:name w:val="Subtítulo Char"/>
    <w:basedOn w:val="11"/>
    <w:link w:val="43"/>
    <w:qFormat/>
    <w:locked/>
    <w:uiPriority w:val="0"/>
    <w:rPr>
      <w:b/>
      <w:sz w:val="28"/>
    </w:rPr>
  </w:style>
  <w:style w:type="character" w:customStyle="1" w:styleId="201">
    <w:name w:val="Normal + Arial Char"/>
    <w:basedOn w:val="11"/>
    <w:link w:val="62"/>
    <w:qFormat/>
    <w:uiPriority w:val="0"/>
    <w:rPr>
      <w:rFonts w:ascii="Arial" w:hAnsi="Arial" w:cs="Arial"/>
      <w:sz w:val="24"/>
    </w:rPr>
  </w:style>
  <w:style w:type="paragraph" w:customStyle="1" w:styleId="202">
    <w:name w:val="Legenda1"/>
    <w:basedOn w:val="1"/>
    <w:next w:val="1"/>
    <w:qFormat/>
    <w:uiPriority w:val="0"/>
    <w:pPr>
      <w:suppressAutoHyphens/>
      <w:jc w:val="center"/>
    </w:pPr>
    <w:rPr>
      <w:rFonts w:ascii="Arial" w:hAnsi="Arial" w:cs="Arial"/>
      <w:b/>
      <w:szCs w:val="20"/>
      <w:lang w:eastAsia="ar-SA"/>
    </w:rPr>
  </w:style>
  <w:style w:type="paragraph" w:customStyle="1" w:styleId="203">
    <w:name w:val="Normal + Justificado"/>
    <w:basedOn w:val="29"/>
    <w:link w:val="204"/>
    <w:qFormat/>
    <w:uiPriority w:val="0"/>
    <w:pPr>
      <w:tabs>
        <w:tab w:val="left" w:pos="720"/>
      </w:tabs>
      <w:spacing w:before="0" w:after="0"/>
      <w:ind w:left="720" w:hanging="720"/>
      <w:jc w:val="both"/>
    </w:pPr>
    <w:rPr>
      <w:szCs w:val="20"/>
    </w:rPr>
  </w:style>
  <w:style w:type="character" w:customStyle="1" w:styleId="204">
    <w:name w:val="Normal + Justificado Char"/>
    <w:basedOn w:val="85"/>
    <w:link w:val="203"/>
    <w:qFormat/>
    <w:uiPriority w:val="0"/>
    <w:rPr>
      <w:sz w:val="24"/>
      <w:szCs w:val="20"/>
    </w:rPr>
  </w:style>
  <w:style w:type="paragraph" w:customStyle="1" w:styleId="205">
    <w:name w:val="Tabela"/>
    <w:basedOn w:val="1"/>
    <w:qFormat/>
    <w:uiPriority w:val="0"/>
    <w:pPr>
      <w:suppressAutoHyphens/>
      <w:autoSpaceDE w:val="0"/>
      <w:snapToGrid w:val="0"/>
    </w:pPr>
    <w:rPr>
      <w:rFonts w:eastAsia="MS Mincho"/>
      <w:color w:val="000000"/>
      <w:sz w:val="20"/>
      <w:szCs w:val="24"/>
      <w:lang w:eastAsia="ar-SA"/>
    </w:rPr>
  </w:style>
  <w:style w:type="paragraph" w:customStyle="1" w:styleId="206">
    <w:name w:val="Sem Espaçamento1"/>
    <w:qFormat/>
    <w:uiPriority w:val="0"/>
    <w:rPr>
      <w:rFonts w:ascii="Times New Roman" w:hAnsi="Times New Roman" w:eastAsia="Times New Roman" w:cs="Times New Roman"/>
      <w:sz w:val="24"/>
      <w:szCs w:val="24"/>
      <w:lang w:val="pt-BR" w:eastAsia="pt-BR" w:bidi="ar-SA"/>
    </w:rPr>
  </w:style>
  <w:style w:type="character" w:customStyle="1" w:styleId="207">
    <w:name w:val="tex5a1"/>
    <w:basedOn w:val="11"/>
    <w:qFormat/>
    <w:uiPriority w:val="0"/>
    <w:rPr>
      <w:rFonts w:hint="default" w:ascii="Verdana" w:hAnsi="Verdana"/>
      <w:color w:val="000000"/>
      <w:sz w:val="15"/>
      <w:szCs w:val="15"/>
    </w:rPr>
  </w:style>
  <w:style w:type="paragraph" w:customStyle="1" w:styleId="208">
    <w:name w:val="Char Char Car Car Char Char Car Char Char Car Char Char Car Char Char Char3"/>
    <w:basedOn w:val="1"/>
    <w:qFormat/>
    <w:uiPriority w:val="0"/>
    <w:pPr>
      <w:spacing w:after="160" w:line="240" w:lineRule="exact"/>
    </w:pPr>
    <w:rPr>
      <w:rFonts w:ascii="Tahoma" w:hAnsi="Tahoma"/>
      <w:sz w:val="20"/>
      <w:szCs w:val="20"/>
      <w:lang w:val="en-US" w:eastAsia="en-US"/>
    </w:rPr>
  </w:style>
  <w:style w:type="paragraph" w:customStyle="1" w:styleId="209">
    <w:name w:val="Body Text 22"/>
    <w:basedOn w:val="1"/>
    <w:qFormat/>
    <w:uiPriority w:val="0"/>
    <w:pPr>
      <w:tabs>
        <w:tab w:val="left" w:pos="0"/>
      </w:tabs>
      <w:ind w:firstLine="720"/>
      <w:jc w:val="both"/>
    </w:pPr>
    <w:rPr>
      <w:snapToGrid w:val="0"/>
      <w:sz w:val="24"/>
      <w:szCs w:val="20"/>
    </w:rPr>
  </w:style>
  <w:style w:type="character" w:customStyle="1" w:styleId="210">
    <w:name w:val="Assunto do comentário Char"/>
    <w:basedOn w:val="75"/>
    <w:link w:val="35"/>
    <w:qFormat/>
    <w:uiPriority w:val="99"/>
    <w:rPr>
      <w:b/>
      <w:bCs/>
      <w:sz w:val="20"/>
      <w:szCs w:val="20"/>
      <w:lang w:val="pt-BR" w:eastAsia="pt-BR" w:bidi="ar-SA"/>
    </w:rPr>
  </w:style>
  <w:style w:type="character" w:customStyle="1" w:styleId="211">
    <w:name w:val="texto_normal1"/>
    <w:basedOn w:val="11"/>
    <w:qFormat/>
    <w:uiPriority w:val="0"/>
    <w:rPr>
      <w:rFonts w:hint="default" w:ascii="Verdana" w:hAnsi="Verdana"/>
      <w:color w:val="000000"/>
      <w:sz w:val="20"/>
      <w:szCs w:val="20"/>
    </w:rPr>
  </w:style>
  <w:style w:type="character" w:customStyle="1" w:styleId="212">
    <w:name w:val="st"/>
    <w:basedOn w:val="109"/>
    <w:qFormat/>
    <w:uiPriority w:val="0"/>
  </w:style>
  <w:style w:type="paragraph" w:customStyle="1" w:styleId="213">
    <w:name w:val="Anexo E - Obs"/>
    <w:basedOn w:val="1"/>
    <w:qFormat/>
    <w:uiPriority w:val="0"/>
    <w:pPr>
      <w:suppressAutoHyphens/>
      <w:jc w:val="both"/>
    </w:pPr>
    <w:rPr>
      <w:rFonts w:ascii="Arial" w:hAnsi="Arial" w:cs="Arial"/>
      <w:sz w:val="24"/>
      <w:szCs w:val="24"/>
      <w:lang w:eastAsia="ar-SA"/>
    </w:rPr>
  </w:style>
  <w:style w:type="paragraph" w:customStyle="1" w:styleId="214">
    <w:name w:val="H5"/>
    <w:basedOn w:val="1"/>
    <w:next w:val="1"/>
    <w:qFormat/>
    <w:uiPriority w:val="0"/>
    <w:pPr>
      <w:keepNext/>
      <w:suppressAutoHyphens/>
      <w:spacing w:before="100" w:after="100"/>
    </w:pPr>
    <w:rPr>
      <w:b/>
      <w:bCs/>
      <w:sz w:val="20"/>
      <w:szCs w:val="20"/>
      <w:lang w:eastAsia="ar-SA"/>
    </w:rPr>
  </w:style>
  <w:style w:type="paragraph" w:customStyle="1" w:styleId="215">
    <w:name w:val="Nível 1"/>
    <w:basedOn w:val="1"/>
    <w:next w:val="216"/>
    <w:qFormat/>
    <w:uiPriority w:val="0"/>
    <w:pPr>
      <w:keepNext/>
      <w:tabs>
        <w:tab w:val="left" w:pos="432"/>
        <w:tab w:val="left" w:pos="567"/>
        <w:tab w:val="left" w:pos="1418"/>
        <w:tab w:val="left" w:pos="1800"/>
        <w:tab w:val="left" w:pos="3240"/>
        <w:tab w:val="left" w:pos="4680"/>
        <w:tab w:val="left" w:pos="6120"/>
      </w:tabs>
      <w:suppressAutoHyphens/>
      <w:spacing w:before="360" w:after="360"/>
      <w:ind w:left="432" w:hanging="432"/>
      <w:jc w:val="both"/>
    </w:pPr>
    <w:rPr>
      <w:b/>
      <w:bCs/>
      <w:caps/>
      <w:lang w:eastAsia="ar-SA"/>
    </w:rPr>
  </w:style>
  <w:style w:type="paragraph" w:customStyle="1" w:styleId="216">
    <w:name w:val="Nível 2"/>
    <w:basedOn w:val="1"/>
    <w:next w:val="217"/>
    <w:qFormat/>
    <w:uiPriority w:val="0"/>
    <w:pPr>
      <w:tabs>
        <w:tab w:val="left" w:pos="432"/>
        <w:tab w:val="left" w:pos="567"/>
        <w:tab w:val="left" w:pos="1247"/>
        <w:tab w:val="left" w:pos="1800"/>
        <w:tab w:val="left" w:pos="3240"/>
        <w:tab w:val="left" w:pos="4680"/>
        <w:tab w:val="left" w:pos="6120"/>
      </w:tabs>
      <w:suppressAutoHyphens/>
      <w:spacing w:after="240"/>
      <w:ind w:left="-454" w:hanging="432"/>
      <w:jc w:val="both"/>
    </w:pPr>
    <w:rPr>
      <w:lang w:eastAsia="ar-SA"/>
    </w:rPr>
  </w:style>
  <w:style w:type="paragraph" w:customStyle="1" w:styleId="217">
    <w:name w:val="Nível 3"/>
    <w:basedOn w:val="216"/>
    <w:qFormat/>
    <w:uiPriority w:val="0"/>
    <w:pPr>
      <w:tabs>
        <w:tab w:val="left" w:pos="720"/>
        <w:tab w:val="left" w:pos="1260"/>
        <w:tab w:val="clear" w:pos="1247"/>
      </w:tabs>
      <w:ind w:left="0"/>
    </w:pPr>
  </w:style>
  <w:style w:type="paragraph" w:customStyle="1" w:styleId="218">
    <w:name w:val="Normal2"/>
    <w:basedOn w:val="1"/>
    <w:qFormat/>
    <w:uiPriority w:val="0"/>
    <w:pPr>
      <w:suppressAutoHyphens/>
      <w:spacing w:before="40" w:after="40"/>
      <w:jc w:val="both"/>
    </w:pPr>
    <w:rPr>
      <w:rFonts w:ascii="Optimum" w:hAnsi="Optimum" w:cs="Optimum"/>
      <w:lang w:eastAsia="ar-SA"/>
    </w:rPr>
  </w:style>
  <w:style w:type="paragraph" w:customStyle="1" w:styleId="219">
    <w:name w:val="Inciso"/>
    <w:basedOn w:val="1"/>
    <w:next w:val="1"/>
    <w:qFormat/>
    <w:uiPriority w:val="0"/>
    <w:pPr>
      <w:tabs>
        <w:tab w:val="left" w:pos="567"/>
      </w:tabs>
      <w:suppressAutoHyphens/>
      <w:spacing w:after="240"/>
      <w:jc w:val="both"/>
    </w:pPr>
    <w:rPr>
      <w:lang w:eastAsia="ar-SA"/>
    </w:rPr>
  </w:style>
  <w:style w:type="paragraph" w:customStyle="1" w:styleId="220">
    <w:name w:val="Lista 51"/>
    <w:basedOn w:val="1"/>
    <w:qFormat/>
    <w:uiPriority w:val="0"/>
    <w:pPr>
      <w:suppressAutoHyphens/>
      <w:ind w:left="1415" w:hanging="283"/>
    </w:pPr>
    <w:rPr>
      <w:sz w:val="24"/>
      <w:szCs w:val="24"/>
      <w:lang w:eastAsia="ar-SA"/>
    </w:rPr>
  </w:style>
  <w:style w:type="paragraph" w:customStyle="1" w:styleId="221">
    <w:name w:val="WW-Corpo de texto 3"/>
    <w:basedOn w:val="1"/>
    <w:qFormat/>
    <w:uiPriority w:val="0"/>
    <w:pPr>
      <w:suppressAutoHyphens/>
      <w:jc w:val="center"/>
    </w:pPr>
    <w:rPr>
      <w:b/>
      <w:bCs/>
      <w:sz w:val="24"/>
      <w:szCs w:val="24"/>
      <w:lang w:eastAsia="ar-SA"/>
    </w:rPr>
  </w:style>
  <w:style w:type="paragraph" w:customStyle="1" w:styleId="222">
    <w:name w:val="Índice - Título 1"/>
    <w:qFormat/>
    <w:uiPriority w:val="0"/>
    <w:pPr>
      <w:suppressAutoHyphens/>
      <w:spacing w:before="240"/>
      <w:jc w:val="center"/>
    </w:pPr>
    <w:rPr>
      <w:rFonts w:ascii="Arial" w:hAnsi="Arial" w:eastAsia="Times New Roman" w:cs="Arial"/>
      <w:b/>
      <w:bCs/>
      <w:sz w:val="26"/>
      <w:szCs w:val="26"/>
      <w:lang w:val="pt-BR" w:eastAsia="ar-SA" w:bidi="ar-SA"/>
    </w:rPr>
  </w:style>
  <w:style w:type="paragraph" w:customStyle="1" w:styleId="223">
    <w:name w:val="_A010177"/>
    <w:basedOn w:val="1"/>
    <w:qFormat/>
    <w:uiPriority w:val="0"/>
    <w:pPr>
      <w:suppressAutoHyphens/>
      <w:jc w:val="both"/>
    </w:pPr>
    <w:rPr>
      <w:rFonts w:ascii="TmsRmn" w:hAnsi="TmsRmn" w:cs="TmsRmn"/>
      <w:color w:val="000000"/>
      <w:kern w:val="1"/>
      <w:sz w:val="24"/>
      <w:szCs w:val="24"/>
      <w:lang w:eastAsia="ar-SA"/>
    </w:rPr>
  </w:style>
  <w:style w:type="character" w:customStyle="1" w:styleId="224">
    <w:name w:val="WW8Num6z0"/>
    <w:qFormat/>
    <w:uiPriority w:val="0"/>
    <w:rPr>
      <w:b/>
    </w:rPr>
  </w:style>
  <w:style w:type="character" w:customStyle="1" w:styleId="225">
    <w:name w:val="Título de cabeç. da mensagem"/>
    <w:qFormat/>
    <w:uiPriority w:val="0"/>
    <w:rPr>
      <w:rFonts w:ascii="Arial Black" w:hAnsi="Arial Black"/>
      <w:spacing w:val="-10"/>
      <w:sz w:val="18"/>
    </w:rPr>
  </w:style>
  <w:style w:type="paragraph" w:customStyle="1" w:styleId="226">
    <w:name w:val="bold-italic"/>
    <w:basedOn w:val="1"/>
    <w:qFormat/>
    <w:uiPriority w:val="0"/>
    <w:pPr>
      <w:spacing w:before="84"/>
      <w:ind w:left="167" w:right="167"/>
    </w:pPr>
    <w:rPr>
      <w:rFonts w:ascii="Verdana" w:hAnsi="Verdana"/>
      <w:b/>
      <w:bCs/>
      <w:color w:val="000000"/>
    </w:rPr>
  </w:style>
  <w:style w:type="paragraph" w:customStyle="1" w:styleId="227">
    <w:name w:val="Decimal Aligned"/>
    <w:basedOn w:val="1"/>
    <w:qFormat/>
    <w:uiPriority w:val="0"/>
    <w:pPr>
      <w:tabs>
        <w:tab w:val="decimal" w:pos="360"/>
      </w:tabs>
      <w:spacing w:after="200" w:line="276" w:lineRule="auto"/>
    </w:pPr>
    <w:rPr>
      <w:rFonts w:asciiTheme="minorHAnsi" w:hAnsiTheme="minorHAnsi" w:eastAsiaTheme="minorEastAsia" w:cstheme="minorBidi"/>
      <w:lang w:eastAsia="en-US"/>
    </w:rPr>
  </w:style>
  <w:style w:type="character" w:customStyle="1" w:styleId="228">
    <w:name w:val="Ênfase Sutil1"/>
    <w:basedOn w:val="11"/>
    <w:qFormat/>
    <w:uiPriority w:val="0"/>
    <w:rPr>
      <w:rFonts w:eastAsiaTheme="minorEastAsia" w:cstheme="minorBidi"/>
      <w:i/>
      <w:iCs/>
      <w:color w:val="7F7F7F" w:themeColor="text1" w:themeTint="7F"/>
      <w:szCs w:val="22"/>
      <w:lang w:val="pt-BR"/>
    </w:rPr>
  </w:style>
  <w:style w:type="paragraph" w:customStyle="1" w:styleId="229">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sz w:val="16"/>
      <w:szCs w:val="16"/>
    </w:rPr>
  </w:style>
  <w:style w:type="paragraph" w:customStyle="1" w:styleId="230">
    <w:name w:val="xl7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sz w:val="18"/>
      <w:szCs w:val="18"/>
    </w:rPr>
  </w:style>
  <w:style w:type="paragraph" w:customStyle="1" w:styleId="231">
    <w:name w:val="xl7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pPr>
    <w:rPr>
      <w:color w:val="000000"/>
    </w:rPr>
  </w:style>
  <w:style w:type="paragraph" w:customStyle="1" w:styleId="232">
    <w:name w:val="xl7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sz w:val="16"/>
      <w:szCs w:val="16"/>
    </w:rPr>
  </w:style>
  <w:style w:type="paragraph" w:customStyle="1" w:styleId="233">
    <w:name w:val="xl77"/>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bottom"/>
    </w:pPr>
    <w:rPr>
      <w:color w:val="000000"/>
    </w:rPr>
  </w:style>
  <w:style w:type="paragraph" w:customStyle="1" w:styleId="234">
    <w:name w:val="xl78"/>
    <w:basedOn w:val="1"/>
    <w:qFormat/>
    <w:uiPriority w:val="0"/>
    <w:pPr>
      <w:pBdr>
        <w:top w:val="single" w:color="auto" w:sz="4" w:space="0"/>
        <w:bottom w:val="single" w:color="auto" w:sz="4" w:space="0"/>
      </w:pBdr>
      <w:spacing w:before="100" w:beforeAutospacing="1" w:after="100" w:afterAutospacing="1"/>
      <w:jc w:val="center"/>
      <w:textAlignment w:val="bottom"/>
    </w:pPr>
    <w:rPr>
      <w:color w:val="000000"/>
    </w:rPr>
  </w:style>
  <w:style w:type="paragraph" w:customStyle="1" w:styleId="235">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pPr>
    <w:rPr>
      <w:color w:val="000000"/>
      <w:sz w:val="18"/>
      <w:szCs w:val="18"/>
    </w:rPr>
  </w:style>
  <w:style w:type="paragraph" w:customStyle="1" w:styleId="236">
    <w:name w:val="xl8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color w:val="000000"/>
      <w:sz w:val="16"/>
      <w:szCs w:val="16"/>
    </w:rPr>
  </w:style>
  <w:style w:type="paragraph" w:customStyle="1" w:styleId="237">
    <w:name w:val="xl8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color w:val="000000"/>
      <w:sz w:val="16"/>
      <w:szCs w:val="16"/>
    </w:rPr>
  </w:style>
  <w:style w:type="paragraph" w:customStyle="1" w:styleId="238">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FFFF"/>
    </w:rPr>
  </w:style>
  <w:style w:type="paragraph" w:customStyle="1" w:styleId="239">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color w:val="FFFFFF"/>
    </w:rPr>
  </w:style>
  <w:style w:type="paragraph" w:customStyle="1" w:styleId="240">
    <w:name w:val="xl8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rPr>
  </w:style>
  <w:style w:type="paragraph" w:customStyle="1" w:styleId="241">
    <w:name w:val="descricao-prod"/>
    <w:basedOn w:val="1"/>
    <w:qFormat/>
    <w:uiPriority w:val="0"/>
    <w:pPr>
      <w:spacing w:before="100" w:beforeAutospacing="1" w:after="100" w:afterAutospacing="1"/>
    </w:pPr>
    <w:rPr>
      <w:sz w:val="24"/>
      <w:szCs w:val="24"/>
    </w:rPr>
  </w:style>
  <w:style w:type="character" w:customStyle="1" w:styleId="242">
    <w:name w:val="txtproduto"/>
    <w:basedOn w:val="11"/>
    <w:qFormat/>
    <w:uiPriority w:val="0"/>
  </w:style>
  <w:style w:type="paragraph" w:customStyle="1" w:styleId="243">
    <w:name w:val="style11"/>
    <w:basedOn w:val="1"/>
    <w:qFormat/>
    <w:uiPriority w:val="0"/>
    <w:pPr>
      <w:spacing w:before="100" w:beforeAutospacing="1" w:after="100" w:afterAutospacing="1"/>
    </w:pPr>
    <w:rPr>
      <w:rFonts w:ascii="Verdana" w:hAnsi="Verdana"/>
      <w:sz w:val="20"/>
      <w:szCs w:val="20"/>
    </w:rPr>
  </w:style>
  <w:style w:type="character" w:customStyle="1" w:styleId="244">
    <w:name w:val="style141"/>
    <w:qFormat/>
    <w:uiPriority w:val="0"/>
    <w:rPr>
      <w:sz w:val="18"/>
      <w:szCs w:val="18"/>
    </w:rPr>
  </w:style>
  <w:style w:type="character" w:customStyle="1" w:styleId="245">
    <w:name w:val="highlightedsearchterm"/>
    <w:qFormat/>
    <w:uiPriority w:val="0"/>
  </w:style>
  <w:style w:type="paragraph" w:customStyle="1" w:styleId="246">
    <w:name w:val="Sem Espaçamento2"/>
    <w:qFormat/>
    <w:uiPriority w:val="0"/>
    <w:rPr>
      <w:rFonts w:ascii="Times New Roman" w:hAnsi="Times New Roman" w:eastAsia="Times New Roman" w:cs="Times New Roman"/>
      <w:sz w:val="24"/>
      <w:szCs w:val="24"/>
      <w:lang w:val="pt-BR" w:eastAsia="pt-BR" w:bidi="ar-SA"/>
    </w:rPr>
  </w:style>
  <w:style w:type="paragraph" w:customStyle="1" w:styleId="247">
    <w:name w:val="Sem Espaçamento3"/>
    <w:qFormat/>
    <w:uiPriority w:val="0"/>
    <w:rPr>
      <w:rFonts w:ascii="Times New Roman" w:hAnsi="Times New Roman" w:eastAsia="Times New Roman" w:cs="Times New Roman"/>
      <w:sz w:val="24"/>
      <w:szCs w:val="24"/>
      <w:lang w:val="pt-BR" w:eastAsia="pt-BR" w:bidi="ar-SA"/>
    </w:rPr>
  </w:style>
  <w:style w:type="character" w:customStyle="1" w:styleId="248">
    <w:name w:val="WW8Num3z2"/>
    <w:qFormat/>
    <w:uiPriority w:val="0"/>
    <w:rPr>
      <w:rFonts w:ascii="Wingdings" w:hAnsi="Wingdings" w:cs="Wingdings"/>
    </w:rPr>
  </w:style>
  <w:style w:type="paragraph" w:customStyle="1" w:styleId="249">
    <w:name w:val="Sem Espaçamento4"/>
    <w:qFormat/>
    <w:uiPriority w:val="0"/>
    <w:rPr>
      <w:rFonts w:ascii="Times New Roman" w:hAnsi="Times New Roman" w:eastAsia="Times New Roman" w:cs="Times New Roman"/>
      <w:sz w:val="24"/>
      <w:szCs w:val="24"/>
      <w:lang w:val="pt-BR" w:eastAsia="pt-BR" w:bidi="ar-SA"/>
    </w:rPr>
  </w:style>
  <w:style w:type="character" w:customStyle="1" w:styleId="250">
    <w:name w:val="WW8Num4z0"/>
    <w:qFormat/>
    <w:uiPriority w:val="0"/>
    <w:rPr>
      <w:rFonts w:ascii="Symbol" w:hAnsi="Symbol" w:cs="Symbol"/>
    </w:rPr>
  </w:style>
  <w:style w:type="character" w:customStyle="1" w:styleId="251">
    <w:name w:val="WW8Num4z1"/>
    <w:qFormat/>
    <w:uiPriority w:val="0"/>
    <w:rPr>
      <w:rFonts w:ascii="Courier New" w:hAnsi="Courier New" w:cs="Courier New"/>
    </w:rPr>
  </w:style>
  <w:style w:type="character" w:customStyle="1" w:styleId="252">
    <w:name w:val="WW8Num4z2"/>
    <w:qFormat/>
    <w:uiPriority w:val="0"/>
    <w:rPr>
      <w:rFonts w:ascii="Wingdings" w:hAnsi="Wingdings" w:cs="Wingdings"/>
    </w:rPr>
  </w:style>
  <w:style w:type="character" w:customStyle="1" w:styleId="253">
    <w:name w:val="WW8Num5z1"/>
    <w:qFormat/>
    <w:uiPriority w:val="0"/>
    <w:rPr>
      <w:rFonts w:ascii="Courier New" w:hAnsi="Courier New" w:cs="Courier New"/>
    </w:rPr>
  </w:style>
  <w:style w:type="character" w:customStyle="1" w:styleId="254">
    <w:name w:val="WW8Num5z2"/>
    <w:qFormat/>
    <w:uiPriority w:val="0"/>
    <w:rPr>
      <w:rFonts w:ascii="Wingdings" w:hAnsi="Wingdings" w:cs="Wingdings"/>
    </w:rPr>
  </w:style>
  <w:style w:type="character" w:customStyle="1" w:styleId="255">
    <w:name w:val="WW-Absatz-Standardschriftart1"/>
    <w:qFormat/>
    <w:uiPriority w:val="0"/>
  </w:style>
  <w:style w:type="character" w:customStyle="1" w:styleId="256">
    <w:name w:val="WW-Absatz-Standardschriftart11"/>
    <w:qFormat/>
    <w:uiPriority w:val="0"/>
  </w:style>
  <w:style w:type="character" w:customStyle="1" w:styleId="257">
    <w:name w:val="WW-Absatz-Standardschriftart111"/>
    <w:qFormat/>
    <w:uiPriority w:val="0"/>
  </w:style>
  <w:style w:type="character" w:customStyle="1" w:styleId="258">
    <w:name w:val="WW-Absatz-Standardschriftart1111"/>
    <w:qFormat/>
    <w:uiPriority w:val="0"/>
  </w:style>
  <w:style w:type="character" w:customStyle="1" w:styleId="259">
    <w:name w:val="WW-Absatz-Standardschriftart11111"/>
    <w:qFormat/>
    <w:uiPriority w:val="0"/>
  </w:style>
  <w:style w:type="character" w:customStyle="1" w:styleId="260">
    <w:name w:val="WW-Absatz-Standardschriftart111111"/>
    <w:qFormat/>
    <w:uiPriority w:val="0"/>
  </w:style>
  <w:style w:type="character" w:customStyle="1" w:styleId="261">
    <w:name w:val="WW-Absatz-Standardschriftart1111111"/>
    <w:qFormat/>
    <w:uiPriority w:val="0"/>
  </w:style>
  <w:style w:type="character" w:customStyle="1" w:styleId="262">
    <w:name w:val="WW-Absatz-Standardschriftart11111111"/>
    <w:qFormat/>
    <w:uiPriority w:val="0"/>
  </w:style>
  <w:style w:type="character" w:customStyle="1" w:styleId="263">
    <w:name w:val="WW-Absatz-Standardschriftart111111111"/>
    <w:qFormat/>
    <w:uiPriority w:val="0"/>
  </w:style>
  <w:style w:type="character" w:customStyle="1" w:styleId="264">
    <w:name w:val="WW8Num3z0"/>
    <w:qFormat/>
    <w:uiPriority w:val="0"/>
    <w:rPr>
      <w:rFonts w:ascii="Symbol" w:hAnsi="Symbol" w:cs="Symbol"/>
    </w:rPr>
  </w:style>
  <w:style w:type="character" w:customStyle="1" w:styleId="265">
    <w:name w:val="WW8Num3z1"/>
    <w:qFormat/>
    <w:uiPriority w:val="0"/>
    <w:rPr>
      <w:rFonts w:ascii="Courier New" w:hAnsi="Courier New" w:cs="Courier New"/>
    </w:rPr>
  </w:style>
  <w:style w:type="character" w:customStyle="1" w:styleId="266">
    <w:name w:val="WW-Absatz-Standardschriftart1111111111"/>
    <w:qFormat/>
    <w:uiPriority w:val="0"/>
  </w:style>
  <w:style w:type="character" w:customStyle="1" w:styleId="267">
    <w:name w:val="WW-Absatz-Standardschriftart11111111111"/>
    <w:qFormat/>
    <w:uiPriority w:val="0"/>
  </w:style>
  <w:style w:type="character" w:customStyle="1" w:styleId="268">
    <w:name w:val="WW-Absatz-Standardschriftart111111111111"/>
    <w:qFormat/>
    <w:uiPriority w:val="0"/>
  </w:style>
  <w:style w:type="character" w:customStyle="1" w:styleId="269">
    <w:name w:val="WW-Absatz-Standardschriftart1111111111111"/>
    <w:qFormat/>
    <w:uiPriority w:val="0"/>
  </w:style>
  <w:style w:type="character" w:customStyle="1" w:styleId="270">
    <w:name w:val="WW-Absatz-Standardschriftart11111111111111"/>
    <w:qFormat/>
    <w:uiPriority w:val="0"/>
  </w:style>
  <w:style w:type="character" w:customStyle="1" w:styleId="271">
    <w:name w:val="WW-Absatz-Standardschriftart111111111111111"/>
    <w:qFormat/>
    <w:uiPriority w:val="0"/>
  </w:style>
  <w:style w:type="character" w:customStyle="1" w:styleId="272">
    <w:name w:val="WW-Absatz-Standardschriftart1111111111111111"/>
    <w:qFormat/>
    <w:uiPriority w:val="0"/>
  </w:style>
  <w:style w:type="character" w:customStyle="1" w:styleId="273">
    <w:name w:val="WW-Absatz-Standardschriftart11111111111111111"/>
    <w:qFormat/>
    <w:uiPriority w:val="0"/>
  </w:style>
  <w:style w:type="character" w:customStyle="1" w:styleId="274">
    <w:name w:val="WW-Absatz-Standardschriftart111111111111111111"/>
    <w:qFormat/>
    <w:uiPriority w:val="0"/>
  </w:style>
  <w:style w:type="character" w:customStyle="1" w:styleId="275">
    <w:name w:val="WW-Absatz-Standardschriftart1111111111111111111"/>
    <w:qFormat/>
    <w:uiPriority w:val="0"/>
  </w:style>
  <w:style w:type="character" w:customStyle="1" w:styleId="276">
    <w:name w:val="WW-Absatz-Standardschriftart11111111111111111111"/>
    <w:qFormat/>
    <w:uiPriority w:val="0"/>
  </w:style>
  <w:style w:type="character" w:customStyle="1" w:styleId="277">
    <w:name w:val="WW-Absatz-Standardschriftart111111111111111111111"/>
    <w:qFormat/>
    <w:uiPriority w:val="0"/>
  </w:style>
  <w:style w:type="character" w:customStyle="1" w:styleId="278">
    <w:name w:val="WW-Absatz-Standardschriftart1111111111111111111111"/>
    <w:qFormat/>
    <w:uiPriority w:val="0"/>
  </w:style>
  <w:style w:type="character" w:customStyle="1" w:styleId="279">
    <w:name w:val="WW-Absatz-Standardschriftart11111111111111111111111"/>
    <w:qFormat/>
    <w:uiPriority w:val="0"/>
  </w:style>
  <w:style w:type="character" w:customStyle="1" w:styleId="280">
    <w:name w:val="WW-Absatz-Standardschriftart111111111111111111111111"/>
    <w:qFormat/>
    <w:uiPriority w:val="0"/>
  </w:style>
  <w:style w:type="character" w:customStyle="1" w:styleId="281">
    <w:name w:val="WW-Absatz-Standardschriftart1111111111111111111111111"/>
    <w:qFormat/>
    <w:uiPriority w:val="0"/>
  </w:style>
  <w:style w:type="character" w:customStyle="1" w:styleId="282">
    <w:name w:val="WW-Absatz-Standardschriftart11111111111111111111111111"/>
    <w:qFormat/>
    <w:uiPriority w:val="0"/>
  </w:style>
  <w:style w:type="character" w:customStyle="1" w:styleId="283">
    <w:name w:val="WW-Absatz-Standardschriftart111111111111111111111111111"/>
    <w:qFormat/>
    <w:uiPriority w:val="0"/>
  </w:style>
  <w:style w:type="character" w:customStyle="1" w:styleId="284">
    <w:name w:val="WW-Absatz-Standardschriftart1111111111111111111111111111"/>
    <w:qFormat/>
    <w:uiPriority w:val="0"/>
  </w:style>
  <w:style w:type="character" w:customStyle="1" w:styleId="285">
    <w:name w:val="WW-Absatz-Standardschriftart11111111111111111111111111111"/>
    <w:qFormat/>
    <w:uiPriority w:val="0"/>
  </w:style>
  <w:style w:type="character" w:customStyle="1" w:styleId="286">
    <w:name w:val="WW-Absatz-Standardschriftart111111111111111111111111111111"/>
    <w:qFormat/>
    <w:uiPriority w:val="0"/>
  </w:style>
  <w:style w:type="character" w:customStyle="1" w:styleId="287">
    <w:name w:val="WW8Num13z1"/>
    <w:qFormat/>
    <w:uiPriority w:val="0"/>
    <w:rPr>
      <w:rFonts w:ascii="Times New Roman" w:hAnsi="Times New Roman" w:eastAsia="Times New Roman"/>
    </w:rPr>
  </w:style>
  <w:style w:type="character" w:customStyle="1" w:styleId="288">
    <w:name w:val="WW8Num19z0"/>
    <w:qFormat/>
    <w:uiPriority w:val="0"/>
    <w:rPr>
      <w:u w:val="none"/>
    </w:rPr>
  </w:style>
  <w:style w:type="character" w:customStyle="1" w:styleId="289">
    <w:name w:val="WW8Num22z1"/>
    <w:qFormat/>
    <w:uiPriority w:val="0"/>
  </w:style>
  <w:style w:type="character" w:customStyle="1" w:styleId="290">
    <w:name w:val="WW8Num22z3"/>
    <w:qFormat/>
    <w:uiPriority w:val="0"/>
    <w:rPr>
      <w:color w:val="FF0000"/>
    </w:rPr>
  </w:style>
  <w:style w:type="character" w:customStyle="1" w:styleId="291">
    <w:name w:val="WW8Num24z0"/>
    <w:qFormat/>
    <w:uiPriority w:val="0"/>
    <w:rPr>
      <w:rFonts w:ascii="Symbol" w:hAnsi="Symbol" w:cs="Symbol"/>
    </w:rPr>
  </w:style>
  <w:style w:type="character" w:customStyle="1" w:styleId="292">
    <w:name w:val="WW8Num24z1"/>
    <w:qFormat/>
    <w:uiPriority w:val="0"/>
    <w:rPr>
      <w:rFonts w:ascii="Courier New" w:hAnsi="Courier New" w:cs="Courier New"/>
    </w:rPr>
  </w:style>
  <w:style w:type="character" w:customStyle="1" w:styleId="293">
    <w:name w:val="WW8Num24z2"/>
    <w:qFormat/>
    <w:uiPriority w:val="0"/>
    <w:rPr>
      <w:rFonts w:ascii="Wingdings" w:hAnsi="Wingdings" w:cs="Wingdings"/>
    </w:rPr>
  </w:style>
  <w:style w:type="character" w:customStyle="1" w:styleId="294">
    <w:name w:val="WW8Num26z0"/>
    <w:qFormat/>
    <w:uiPriority w:val="0"/>
  </w:style>
  <w:style w:type="character" w:customStyle="1" w:styleId="295">
    <w:name w:val="WW8Num27z1"/>
    <w:qFormat/>
    <w:uiPriority w:val="0"/>
  </w:style>
  <w:style w:type="character" w:customStyle="1" w:styleId="296">
    <w:name w:val="WW8Num27z2"/>
    <w:qFormat/>
    <w:uiPriority w:val="0"/>
    <w:rPr>
      <w:rFonts w:ascii="Times New Roman" w:hAnsi="Times New Roman" w:eastAsia="Times New Roman"/>
    </w:rPr>
  </w:style>
  <w:style w:type="character" w:customStyle="1" w:styleId="297">
    <w:name w:val="WW8Num27z3"/>
    <w:qFormat/>
    <w:uiPriority w:val="0"/>
    <w:rPr>
      <w:color w:val="auto"/>
    </w:rPr>
  </w:style>
  <w:style w:type="character" w:customStyle="1" w:styleId="298">
    <w:name w:val="WW8Num29z0"/>
    <w:qFormat/>
    <w:uiPriority w:val="0"/>
    <w:rPr>
      <w:rFonts w:ascii="Symbol" w:hAnsi="Symbol" w:cs="Symbol"/>
    </w:rPr>
  </w:style>
  <w:style w:type="character" w:customStyle="1" w:styleId="299">
    <w:name w:val="WW8Num29z1"/>
    <w:qFormat/>
    <w:uiPriority w:val="0"/>
    <w:rPr>
      <w:rFonts w:ascii="Courier New" w:hAnsi="Courier New" w:cs="Courier New"/>
    </w:rPr>
  </w:style>
  <w:style w:type="character" w:customStyle="1" w:styleId="300">
    <w:name w:val="WW8Num29z2"/>
    <w:qFormat/>
    <w:uiPriority w:val="0"/>
    <w:rPr>
      <w:rFonts w:ascii="Wingdings" w:hAnsi="Wingdings" w:cs="Wingdings"/>
    </w:rPr>
  </w:style>
  <w:style w:type="character" w:customStyle="1" w:styleId="301">
    <w:name w:val="WW8Num30z0"/>
    <w:qFormat/>
    <w:uiPriority w:val="0"/>
    <w:rPr>
      <w:rFonts w:ascii="Symbol" w:hAnsi="Symbol" w:cs="Symbol"/>
    </w:rPr>
  </w:style>
  <w:style w:type="character" w:customStyle="1" w:styleId="302">
    <w:name w:val="WW8Num30z1"/>
    <w:qFormat/>
    <w:uiPriority w:val="0"/>
    <w:rPr>
      <w:rFonts w:ascii="Courier New" w:hAnsi="Courier New" w:cs="Courier New"/>
    </w:rPr>
  </w:style>
  <w:style w:type="character" w:customStyle="1" w:styleId="303">
    <w:name w:val="WW8Num30z2"/>
    <w:qFormat/>
    <w:uiPriority w:val="0"/>
    <w:rPr>
      <w:rFonts w:ascii="Wingdings" w:hAnsi="Wingdings" w:cs="Wingdings"/>
    </w:rPr>
  </w:style>
  <w:style w:type="character" w:customStyle="1" w:styleId="304">
    <w:name w:val="Char Char12"/>
    <w:basedOn w:val="109"/>
    <w:qFormat/>
    <w:uiPriority w:val="0"/>
    <w:rPr>
      <w:rFonts w:ascii="Cambria" w:hAnsi="Cambria" w:cs="Cambria"/>
      <w:b/>
      <w:bCs/>
      <w:kern w:val="1"/>
      <w:sz w:val="32"/>
      <w:szCs w:val="32"/>
      <w:lang w:eastAsia="ar-SA" w:bidi="ar-SA"/>
    </w:rPr>
  </w:style>
  <w:style w:type="character" w:customStyle="1" w:styleId="305">
    <w:name w:val="Char Char11"/>
    <w:basedOn w:val="109"/>
    <w:qFormat/>
    <w:uiPriority w:val="0"/>
    <w:rPr>
      <w:rFonts w:ascii="Cambria" w:hAnsi="Cambria" w:cs="Cambria"/>
      <w:b/>
      <w:bCs/>
      <w:i/>
      <w:iCs/>
      <w:sz w:val="28"/>
      <w:szCs w:val="28"/>
      <w:lang w:eastAsia="ar-SA" w:bidi="ar-SA"/>
    </w:rPr>
  </w:style>
  <w:style w:type="character" w:customStyle="1" w:styleId="306">
    <w:name w:val="Char Char10"/>
    <w:basedOn w:val="109"/>
    <w:qFormat/>
    <w:uiPriority w:val="0"/>
    <w:rPr>
      <w:rFonts w:ascii="Cambria" w:hAnsi="Cambria" w:cs="Cambria"/>
      <w:b/>
      <w:bCs/>
      <w:sz w:val="26"/>
      <w:szCs w:val="26"/>
      <w:lang w:eastAsia="ar-SA" w:bidi="ar-SA"/>
    </w:rPr>
  </w:style>
  <w:style w:type="character" w:customStyle="1" w:styleId="307">
    <w:name w:val="Char Char9"/>
    <w:basedOn w:val="109"/>
    <w:qFormat/>
    <w:uiPriority w:val="0"/>
    <w:rPr>
      <w:rFonts w:ascii="Calibri" w:hAnsi="Calibri" w:cs="Calibri"/>
      <w:b/>
      <w:bCs/>
      <w:sz w:val="28"/>
      <w:szCs w:val="28"/>
      <w:lang w:eastAsia="ar-SA" w:bidi="ar-SA"/>
    </w:rPr>
  </w:style>
  <w:style w:type="character" w:customStyle="1" w:styleId="308">
    <w:name w:val="Char Char8"/>
    <w:basedOn w:val="109"/>
    <w:qFormat/>
    <w:uiPriority w:val="0"/>
    <w:rPr>
      <w:rFonts w:ascii="Calibri" w:hAnsi="Calibri" w:cs="Calibri"/>
      <w:b/>
      <w:bCs/>
      <w:i/>
      <w:iCs/>
      <w:sz w:val="26"/>
      <w:szCs w:val="26"/>
      <w:lang w:eastAsia="ar-SA" w:bidi="ar-SA"/>
    </w:rPr>
  </w:style>
  <w:style w:type="character" w:customStyle="1" w:styleId="309">
    <w:name w:val="Char Char7"/>
    <w:basedOn w:val="109"/>
    <w:qFormat/>
    <w:uiPriority w:val="0"/>
    <w:rPr>
      <w:rFonts w:ascii="Calibri" w:hAnsi="Calibri" w:cs="Calibri"/>
      <w:b/>
      <w:bCs/>
      <w:lang w:eastAsia="ar-SA" w:bidi="ar-SA"/>
    </w:rPr>
  </w:style>
  <w:style w:type="character" w:customStyle="1" w:styleId="310">
    <w:name w:val="Char Char6"/>
    <w:basedOn w:val="109"/>
    <w:qFormat/>
    <w:uiPriority w:val="0"/>
    <w:rPr>
      <w:rFonts w:ascii="Calibri" w:hAnsi="Calibri" w:cs="Calibri"/>
      <w:sz w:val="24"/>
      <w:szCs w:val="24"/>
      <w:lang w:eastAsia="ar-SA" w:bidi="ar-SA"/>
    </w:rPr>
  </w:style>
  <w:style w:type="character" w:customStyle="1" w:styleId="311">
    <w:name w:val="Char Char4"/>
    <w:basedOn w:val="109"/>
    <w:qFormat/>
    <w:uiPriority w:val="0"/>
    <w:rPr>
      <w:sz w:val="24"/>
      <w:szCs w:val="24"/>
      <w:lang w:eastAsia="ar-SA" w:bidi="ar-SA"/>
    </w:rPr>
  </w:style>
  <w:style w:type="character" w:customStyle="1" w:styleId="312">
    <w:name w:val="Char Char3"/>
    <w:basedOn w:val="109"/>
    <w:qFormat/>
    <w:uiPriority w:val="0"/>
    <w:rPr>
      <w:sz w:val="24"/>
      <w:szCs w:val="24"/>
      <w:lang w:eastAsia="ar-SA" w:bidi="ar-SA"/>
    </w:rPr>
  </w:style>
  <w:style w:type="character" w:customStyle="1" w:styleId="313">
    <w:name w:val="Char Char2"/>
    <w:basedOn w:val="109"/>
    <w:qFormat/>
    <w:uiPriority w:val="0"/>
    <w:rPr>
      <w:rFonts w:ascii="Cambria" w:hAnsi="Cambria" w:cs="Cambria"/>
      <w:b/>
      <w:bCs/>
      <w:kern w:val="1"/>
      <w:sz w:val="32"/>
      <w:szCs w:val="32"/>
      <w:lang w:eastAsia="ar-SA" w:bidi="ar-SA"/>
    </w:rPr>
  </w:style>
  <w:style w:type="character" w:customStyle="1" w:styleId="314">
    <w:name w:val="Cabeçalho Char Char Char"/>
    <w:basedOn w:val="109"/>
    <w:qFormat/>
    <w:uiPriority w:val="0"/>
    <w:rPr>
      <w:sz w:val="24"/>
      <w:szCs w:val="24"/>
      <w:lang w:val="pt-BR" w:eastAsia="ar-SA" w:bidi="ar-SA"/>
    </w:rPr>
  </w:style>
  <w:style w:type="character" w:customStyle="1" w:styleId="315">
    <w:name w:val="Símbolos de numeração"/>
    <w:qFormat/>
    <w:uiPriority w:val="0"/>
  </w:style>
  <w:style w:type="character" w:customStyle="1" w:styleId="316">
    <w:name w:val="ListLabel 6"/>
    <w:qFormat/>
    <w:uiPriority w:val="0"/>
    <w:rPr>
      <w:rFonts w:cs="Symbol"/>
    </w:rPr>
  </w:style>
  <w:style w:type="character" w:customStyle="1" w:styleId="317">
    <w:name w:val="ListLabel 7"/>
    <w:qFormat/>
    <w:uiPriority w:val="0"/>
    <w:rPr>
      <w:rFonts w:cs="Courier New"/>
    </w:rPr>
  </w:style>
  <w:style w:type="character" w:customStyle="1" w:styleId="318">
    <w:name w:val="ListLabel 8"/>
    <w:qFormat/>
    <w:uiPriority w:val="0"/>
    <w:rPr>
      <w:rFonts w:cs="Wingdings"/>
    </w:rPr>
  </w:style>
  <w:style w:type="paragraph" w:customStyle="1" w:styleId="319">
    <w:name w:val="Legenda2"/>
    <w:basedOn w:val="1"/>
    <w:qFormat/>
    <w:uiPriority w:val="0"/>
    <w:pPr>
      <w:suppressLineNumbers/>
      <w:suppressAutoHyphens/>
      <w:spacing w:before="120" w:after="120"/>
    </w:pPr>
    <w:rPr>
      <w:rFonts w:cs="Mangal"/>
      <w:i/>
      <w:iCs/>
      <w:kern w:val="1"/>
      <w:sz w:val="24"/>
      <w:szCs w:val="24"/>
      <w:lang w:eastAsia="ar-SA"/>
    </w:rPr>
  </w:style>
  <w:style w:type="paragraph" w:customStyle="1" w:styleId="320">
    <w:name w:val="Conteúdo de tabela"/>
    <w:basedOn w:val="1"/>
    <w:qFormat/>
    <w:uiPriority w:val="0"/>
    <w:pPr>
      <w:suppressLineNumbers/>
      <w:suppressAutoHyphens/>
    </w:pPr>
    <w:rPr>
      <w:kern w:val="1"/>
      <w:sz w:val="24"/>
      <w:szCs w:val="24"/>
      <w:lang w:eastAsia="ar-SA"/>
    </w:rPr>
  </w:style>
  <w:style w:type="paragraph" w:customStyle="1" w:styleId="321">
    <w:name w:val="Título de tabela"/>
    <w:basedOn w:val="320"/>
    <w:qFormat/>
    <w:uiPriority w:val="0"/>
    <w:pPr>
      <w:jc w:val="center"/>
    </w:pPr>
    <w:rPr>
      <w:b/>
      <w:bCs/>
    </w:rPr>
  </w:style>
  <w:style w:type="paragraph" w:customStyle="1" w:styleId="322">
    <w:name w:val="Sem Espaçamento5"/>
    <w:qFormat/>
    <w:uiPriority w:val="0"/>
    <w:rPr>
      <w:rFonts w:ascii="Times New Roman" w:hAnsi="Times New Roman" w:eastAsia="Times New Roman" w:cs="Times New Roman"/>
      <w:sz w:val="24"/>
      <w:szCs w:val="24"/>
      <w:lang w:val="pt-BR" w:eastAsia="pt-BR" w:bidi="ar-SA"/>
    </w:rPr>
  </w:style>
  <w:style w:type="paragraph" w:customStyle="1" w:styleId="323">
    <w:name w:val="Sem Espaçamento6"/>
    <w:qFormat/>
    <w:uiPriority w:val="0"/>
    <w:rPr>
      <w:rFonts w:ascii="Times New Roman" w:hAnsi="Times New Roman" w:eastAsia="Times New Roman" w:cs="Times New Roman"/>
      <w:sz w:val="24"/>
      <w:szCs w:val="24"/>
      <w:lang w:val="pt-BR" w:eastAsia="pt-BR" w:bidi="ar-SA"/>
    </w:rPr>
  </w:style>
  <w:style w:type="character" w:customStyle="1" w:styleId="324">
    <w:name w:val="highlight"/>
    <w:basedOn w:val="11"/>
    <w:qFormat/>
    <w:uiPriority w:val="0"/>
  </w:style>
  <w:style w:type="paragraph" w:customStyle="1" w:styleId="325">
    <w:name w:val="xl33"/>
    <w:basedOn w:val="1"/>
    <w:qFormat/>
    <w:uiPriority w:val="0"/>
    <w:pPr>
      <w:pBdr>
        <w:left w:val="single" w:color="auto" w:sz="8" w:space="0"/>
        <w:bottom w:val="single" w:color="auto" w:sz="4" w:space="0"/>
        <w:right w:val="single" w:color="auto" w:sz="4" w:space="0"/>
      </w:pBdr>
      <w:spacing w:before="100" w:beforeAutospacing="1" w:after="100" w:afterAutospacing="1"/>
      <w:jc w:val="center"/>
      <w:textAlignment w:val="center"/>
    </w:pPr>
    <w:rPr>
      <w:rFonts w:ascii="Arial" w:hAnsi="Arial" w:eastAsia="Arial Unicode MS" w:cs="Arial"/>
      <w:b/>
      <w:bCs/>
      <w:sz w:val="28"/>
      <w:szCs w:val="28"/>
    </w:rPr>
  </w:style>
  <w:style w:type="paragraph" w:customStyle="1" w:styleId="326">
    <w:name w:val="contrato"/>
    <w:basedOn w:val="1"/>
    <w:qFormat/>
    <w:uiPriority w:val="0"/>
    <w:pPr>
      <w:jc w:val="both"/>
    </w:pPr>
    <w:rPr>
      <w:rFonts w:ascii="Arial" w:hAnsi="Arial"/>
      <w:szCs w:val="20"/>
      <w:lang w:val="pt-PT"/>
    </w:rPr>
  </w:style>
  <w:style w:type="paragraph" w:customStyle="1" w:styleId="327">
    <w:name w:val="Blockquote"/>
    <w:basedOn w:val="1"/>
    <w:qFormat/>
    <w:uiPriority w:val="0"/>
    <w:pPr>
      <w:spacing w:before="100" w:after="100"/>
      <w:ind w:left="360" w:right="360"/>
    </w:pPr>
    <w:rPr>
      <w:snapToGrid w:val="0"/>
      <w:sz w:val="24"/>
      <w:szCs w:val="20"/>
    </w:rPr>
  </w:style>
  <w:style w:type="character" w:customStyle="1" w:styleId="328">
    <w:name w:val="tit_dept1"/>
    <w:qFormat/>
    <w:uiPriority w:val="0"/>
    <w:rPr>
      <w:b/>
      <w:bCs/>
      <w:color w:val="333333"/>
      <w:sz w:val="18"/>
      <w:szCs w:val="18"/>
    </w:rPr>
  </w:style>
  <w:style w:type="paragraph" w:customStyle="1" w:styleId="329">
    <w:name w:val="n1"/>
    <w:basedOn w:val="1"/>
    <w:qFormat/>
    <w:uiPriority w:val="0"/>
    <w:pPr>
      <w:tabs>
        <w:tab w:val="left" w:pos="1134"/>
      </w:tabs>
      <w:spacing w:before="240"/>
      <w:jc w:val="both"/>
    </w:pPr>
    <w:rPr>
      <w:rFonts w:ascii="Arial" w:hAnsi="Arial"/>
      <w:sz w:val="20"/>
      <w:szCs w:val="20"/>
    </w:rPr>
  </w:style>
  <w:style w:type="paragraph" w:customStyle="1" w:styleId="330">
    <w:name w:val="xl2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24"/>
      <w:szCs w:val="24"/>
    </w:rPr>
  </w:style>
  <w:style w:type="paragraph" w:customStyle="1" w:styleId="331">
    <w:name w:val="xl2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b/>
      <w:bCs/>
    </w:rPr>
  </w:style>
  <w:style w:type="paragraph" w:customStyle="1" w:styleId="332">
    <w:name w:val="xl2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style>
  <w:style w:type="paragraph" w:customStyle="1" w:styleId="333">
    <w:name w:val="xl2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sz w:val="24"/>
      <w:szCs w:val="24"/>
    </w:rPr>
  </w:style>
  <w:style w:type="paragraph" w:customStyle="1" w:styleId="334">
    <w:name w:val="xl2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sz w:val="24"/>
      <w:szCs w:val="24"/>
    </w:rPr>
  </w:style>
  <w:style w:type="paragraph" w:customStyle="1" w:styleId="335">
    <w:name w:val="xl2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sz w:val="24"/>
      <w:szCs w:val="24"/>
    </w:rPr>
  </w:style>
  <w:style w:type="paragraph" w:customStyle="1" w:styleId="336">
    <w:name w:val="xl3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b/>
      <w:bCs/>
      <w:sz w:val="24"/>
      <w:szCs w:val="24"/>
    </w:rPr>
  </w:style>
  <w:style w:type="paragraph" w:customStyle="1" w:styleId="337">
    <w:name w:val="xl3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4"/>
      <w:szCs w:val="24"/>
    </w:rPr>
  </w:style>
  <w:style w:type="paragraph" w:customStyle="1" w:styleId="338">
    <w:name w:val="xl3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pPr>
    <w:rPr>
      <w:sz w:val="24"/>
      <w:szCs w:val="24"/>
    </w:rPr>
  </w:style>
  <w:style w:type="paragraph" w:customStyle="1" w:styleId="339">
    <w:name w:val="xl3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sz w:val="24"/>
      <w:szCs w:val="24"/>
    </w:rPr>
  </w:style>
  <w:style w:type="paragraph" w:customStyle="1" w:styleId="340">
    <w:name w:val="xl3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b/>
      <w:bCs/>
      <w:sz w:val="24"/>
      <w:szCs w:val="24"/>
    </w:rPr>
  </w:style>
  <w:style w:type="paragraph" w:customStyle="1" w:styleId="341">
    <w:name w:val="xl3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b/>
      <w:bCs/>
      <w:sz w:val="24"/>
      <w:szCs w:val="24"/>
    </w:rPr>
  </w:style>
  <w:style w:type="paragraph" w:customStyle="1" w:styleId="342">
    <w:name w:val="xl3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sz w:val="24"/>
      <w:szCs w:val="24"/>
    </w:rPr>
  </w:style>
  <w:style w:type="paragraph" w:customStyle="1" w:styleId="343">
    <w:name w:val="xl3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sz w:val="24"/>
      <w:szCs w:val="24"/>
    </w:rPr>
  </w:style>
  <w:style w:type="paragraph" w:customStyle="1" w:styleId="344">
    <w:name w:val="xl3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center"/>
    </w:pPr>
    <w:rPr>
      <w:sz w:val="24"/>
      <w:szCs w:val="24"/>
    </w:rPr>
  </w:style>
  <w:style w:type="paragraph" w:customStyle="1" w:styleId="345">
    <w:name w:val="xl4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center"/>
    </w:pPr>
    <w:rPr>
      <w:sz w:val="24"/>
      <w:szCs w:val="24"/>
    </w:rPr>
  </w:style>
  <w:style w:type="paragraph" w:customStyle="1" w:styleId="346">
    <w:name w:val="xl4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sz w:val="24"/>
      <w:szCs w:val="24"/>
    </w:rPr>
  </w:style>
  <w:style w:type="paragraph" w:customStyle="1" w:styleId="347">
    <w:name w:val="xl4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sz w:val="24"/>
      <w:szCs w:val="24"/>
    </w:rPr>
  </w:style>
  <w:style w:type="paragraph" w:customStyle="1" w:styleId="348">
    <w:name w:val="xl4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sz w:val="24"/>
      <w:szCs w:val="24"/>
    </w:rPr>
  </w:style>
  <w:style w:type="paragraph" w:customStyle="1" w:styleId="349">
    <w:name w:val="xl4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sz w:val="24"/>
      <w:szCs w:val="24"/>
    </w:rPr>
  </w:style>
  <w:style w:type="paragraph" w:customStyle="1" w:styleId="350">
    <w:name w:val="xl4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b/>
      <w:bCs/>
      <w:sz w:val="24"/>
      <w:szCs w:val="24"/>
    </w:rPr>
  </w:style>
  <w:style w:type="paragraph" w:customStyle="1" w:styleId="351">
    <w:name w:val="xl4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rPr>
  </w:style>
  <w:style w:type="paragraph" w:customStyle="1" w:styleId="352">
    <w:name w:val="xl4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rPr>
  </w:style>
  <w:style w:type="paragraph" w:customStyle="1" w:styleId="353">
    <w:name w:val="xl5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b/>
      <w:bCs/>
      <w:sz w:val="24"/>
      <w:szCs w:val="24"/>
    </w:rPr>
  </w:style>
  <w:style w:type="paragraph" w:customStyle="1" w:styleId="354">
    <w:name w:val="xl5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pPr>
    <w:rPr>
      <w:sz w:val="24"/>
      <w:szCs w:val="24"/>
    </w:rPr>
  </w:style>
  <w:style w:type="paragraph" w:customStyle="1" w:styleId="355">
    <w:name w:val="xl5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b/>
      <w:bCs/>
    </w:rPr>
  </w:style>
  <w:style w:type="paragraph" w:customStyle="1" w:styleId="356">
    <w:name w:val="xl5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style>
  <w:style w:type="paragraph" w:customStyle="1" w:styleId="357">
    <w:name w:val="xl54"/>
    <w:basedOn w:val="1"/>
    <w:qFormat/>
    <w:uiPriority w:val="0"/>
    <w:pPr>
      <w:spacing w:before="100" w:beforeAutospacing="1" w:after="100" w:afterAutospacing="1"/>
    </w:pPr>
    <w:rPr>
      <w:sz w:val="24"/>
      <w:szCs w:val="24"/>
    </w:rPr>
  </w:style>
  <w:style w:type="paragraph" w:customStyle="1" w:styleId="358">
    <w:name w:val="ecxmsonormal"/>
    <w:basedOn w:val="1"/>
    <w:qFormat/>
    <w:uiPriority w:val="0"/>
    <w:pPr>
      <w:spacing w:before="100" w:beforeAutospacing="1" w:after="100" w:afterAutospacing="1"/>
    </w:pPr>
    <w:rPr>
      <w:sz w:val="24"/>
      <w:szCs w:val="24"/>
    </w:rPr>
  </w:style>
  <w:style w:type="paragraph" w:customStyle="1" w:styleId="359">
    <w:name w:val="ecxcpl-item"/>
    <w:basedOn w:val="1"/>
    <w:qFormat/>
    <w:uiPriority w:val="0"/>
    <w:pPr>
      <w:spacing w:before="100" w:beforeAutospacing="1" w:after="100" w:afterAutospacing="1"/>
    </w:pPr>
    <w:rPr>
      <w:sz w:val="24"/>
      <w:szCs w:val="24"/>
    </w:rPr>
  </w:style>
  <w:style w:type="paragraph" w:customStyle="1" w:styleId="360">
    <w:name w:val="ecxcpl-textodoedital"/>
    <w:basedOn w:val="1"/>
    <w:qFormat/>
    <w:uiPriority w:val="0"/>
    <w:pPr>
      <w:spacing w:before="100" w:beforeAutospacing="1" w:after="100" w:afterAutospacing="1"/>
    </w:pPr>
    <w:rPr>
      <w:sz w:val="24"/>
      <w:szCs w:val="24"/>
    </w:rPr>
  </w:style>
  <w:style w:type="character" w:customStyle="1" w:styleId="361">
    <w:name w:val="apple-tab-span"/>
    <w:qFormat/>
    <w:uiPriority w:val="0"/>
  </w:style>
  <w:style w:type="character" w:customStyle="1" w:styleId="362">
    <w:name w:val="tex5a"/>
    <w:basedOn w:val="11"/>
    <w:qFormat/>
    <w:uiPriority w:val="0"/>
  </w:style>
  <w:style w:type="paragraph" w:customStyle="1" w:styleId="363">
    <w:name w:val="CM53"/>
    <w:basedOn w:val="146"/>
    <w:next w:val="146"/>
    <w:qFormat/>
    <w:uiPriority w:val="0"/>
    <w:pPr>
      <w:widowControl w:val="0"/>
      <w:spacing w:after="543"/>
    </w:pPr>
    <w:rPr>
      <w:color w:val="auto"/>
    </w:rPr>
  </w:style>
  <w:style w:type="paragraph" w:customStyle="1" w:styleId="364">
    <w:name w:val="CM57"/>
    <w:basedOn w:val="146"/>
    <w:next w:val="146"/>
    <w:qFormat/>
    <w:uiPriority w:val="0"/>
    <w:pPr>
      <w:widowControl w:val="0"/>
      <w:spacing w:after="100"/>
    </w:pPr>
    <w:rPr>
      <w:color w:val="auto"/>
    </w:rPr>
  </w:style>
  <w:style w:type="paragraph" w:customStyle="1" w:styleId="365">
    <w:name w:val="CM51"/>
    <w:basedOn w:val="146"/>
    <w:next w:val="146"/>
    <w:qFormat/>
    <w:uiPriority w:val="0"/>
    <w:pPr>
      <w:widowControl w:val="0"/>
      <w:spacing w:after="250"/>
    </w:pPr>
    <w:rPr>
      <w:color w:val="auto"/>
    </w:rPr>
  </w:style>
  <w:style w:type="paragraph" w:customStyle="1" w:styleId="366">
    <w:name w:val="CM18"/>
    <w:basedOn w:val="146"/>
    <w:next w:val="146"/>
    <w:qFormat/>
    <w:uiPriority w:val="0"/>
    <w:pPr>
      <w:widowControl w:val="0"/>
      <w:spacing w:line="253" w:lineRule="atLeast"/>
    </w:pPr>
    <w:rPr>
      <w:color w:val="auto"/>
    </w:rPr>
  </w:style>
  <w:style w:type="paragraph" w:customStyle="1" w:styleId="367">
    <w:name w:val="CM62"/>
    <w:basedOn w:val="146"/>
    <w:next w:val="146"/>
    <w:qFormat/>
    <w:uiPriority w:val="0"/>
    <w:pPr>
      <w:widowControl w:val="0"/>
      <w:spacing w:after="710"/>
    </w:pPr>
    <w:rPr>
      <w:color w:val="auto"/>
    </w:rPr>
  </w:style>
  <w:style w:type="paragraph" w:customStyle="1" w:styleId="368">
    <w:name w:val="font5"/>
    <w:basedOn w:val="1"/>
    <w:qFormat/>
    <w:uiPriority w:val="0"/>
    <w:pPr>
      <w:spacing w:before="100" w:beforeAutospacing="1" w:after="100" w:afterAutospacing="1"/>
    </w:pPr>
    <w:rPr>
      <w:rFonts w:ascii="Arial Narrow" w:hAnsi="Arial Narrow" w:eastAsia="Arial Unicode MS" w:cs="Arial Unicode MS"/>
      <w:sz w:val="20"/>
      <w:szCs w:val="20"/>
    </w:rPr>
  </w:style>
  <w:style w:type="paragraph" w:customStyle="1" w:styleId="369">
    <w:name w:val="font6"/>
    <w:basedOn w:val="1"/>
    <w:qFormat/>
    <w:uiPriority w:val="0"/>
    <w:pPr>
      <w:spacing w:before="100" w:beforeAutospacing="1" w:after="100" w:afterAutospacing="1"/>
    </w:pPr>
    <w:rPr>
      <w:rFonts w:ascii="Arial Narrow" w:hAnsi="Arial Narrow" w:eastAsia="Arial Unicode MS" w:cs="Arial Unicode MS"/>
      <w:b/>
      <w:bCs/>
      <w:sz w:val="20"/>
      <w:szCs w:val="20"/>
    </w:rPr>
  </w:style>
  <w:style w:type="character" w:customStyle="1" w:styleId="370">
    <w:name w:val="txtficha1"/>
    <w:basedOn w:val="11"/>
    <w:qFormat/>
    <w:uiPriority w:val="0"/>
    <w:rPr>
      <w:rFonts w:hint="default" w:ascii="Arial" w:hAnsi="Arial" w:cs="Arial"/>
      <w:sz w:val="15"/>
      <w:szCs w:val="15"/>
    </w:rPr>
  </w:style>
  <w:style w:type="paragraph" w:customStyle="1" w:styleId="371">
    <w:name w:val="texto"/>
    <w:basedOn w:val="1"/>
    <w:qFormat/>
    <w:uiPriority w:val="0"/>
    <w:pPr>
      <w:spacing w:before="100" w:beforeAutospacing="1" w:after="100" w:afterAutospacing="1"/>
    </w:pPr>
    <w:rPr>
      <w:rFonts w:ascii="Verdana" w:hAnsi="Verdana" w:cs="Verdana"/>
      <w:color w:val="333333"/>
      <w:sz w:val="17"/>
      <w:szCs w:val="17"/>
    </w:rPr>
  </w:style>
  <w:style w:type="character" w:customStyle="1" w:styleId="372">
    <w:name w:val="encabezado Char Char"/>
    <w:basedOn w:val="11"/>
    <w:semiHidden/>
    <w:qFormat/>
    <w:uiPriority w:val="0"/>
    <w:rPr>
      <w:sz w:val="24"/>
      <w:szCs w:val="24"/>
    </w:rPr>
  </w:style>
  <w:style w:type="paragraph" w:customStyle="1" w:styleId="373">
    <w:name w:val="Corpo de texto + Arial Narrow"/>
    <w:basedOn w:val="22"/>
    <w:qFormat/>
    <w:uiPriority w:val="0"/>
    <w:pPr>
      <w:tabs>
        <w:tab w:val="left" w:pos="0"/>
      </w:tabs>
      <w:ind w:firstLine="1080"/>
    </w:pPr>
    <w:rPr>
      <w:rFonts w:ascii="Arial Narrow" w:hAnsi="Arial Narrow" w:cs="Arial Narrow"/>
      <w:sz w:val="23"/>
      <w:szCs w:val="23"/>
    </w:rPr>
  </w:style>
  <w:style w:type="character" w:customStyle="1" w:styleId="374">
    <w:name w:val="Link da Internet"/>
    <w:qFormat/>
    <w:uiPriority w:val="99"/>
    <w:rPr>
      <w:color w:val="0000FF"/>
      <w:u w:val="single"/>
    </w:rPr>
  </w:style>
  <w:style w:type="character" w:customStyle="1" w:styleId="375">
    <w:name w:val="WW8Num10z0"/>
    <w:qFormat/>
    <w:uiPriority w:val="0"/>
    <w:rPr>
      <w:rFonts w:hint="default"/>
    </w:rPr>
  </w:style>
  <w:style w:type="character" w:customStyle="1" w:styleId="376">
    <w:name w:val="WW8Num1z0"/>
    <w:qFormat/>
    <w:uiPriority w:val="0"/>
  </w:style>
  <w:style w:type="character" w:customStyle="1" w:styleId="377">
    <w:name w:val="WW8Num1z4"/>
    <w:qFormat/>
    <w:uiPriority w:val="0"/>
  </w:style>
  <w:style w:type="character" w:customStyle="1" w:styleId="378">
    <w:name w:val="WW8Num1z5"/>
    <w:qFormat/>
    <w:uiPriority w:val="0"/>
  </w:style>
  <w:style w:type="character" w:customStyle="1" w:styleId="379">
    <w:name w:val="WW8Num1z6"/>
    <w:qFormat/>
    <w:uiPriority w:val="0"/>
  </w:style>
  <w:style w:type="character" w:customStyle="1" w:styleId="380">
    <w:name w:val="WW8Num1z7"/>
    <w:qFormat/>
    <w:uiPriority w:val="0"/>
  </w:style>
  <w:style w:type="character" w:customStyle="1" w:styleId="381">
    <w:name w:val="WW8Num1z8"/>
    <w:qFormat/>
    <w:uiPriority w:val="0"/>
  </w:style>
  <w:style w:type="character" w:customStyle="1" w:styleId="382">
    <w:name w:val="WW8Num2z0"/>
    <w:qFormat/>
    <w:uiPriority w:val="0"/>
    <w:rPr>
      <w:rFonts w:hint="default"/>
    </w:rPr>
  </w:style>
  <w:style w:type="character" w:customStyle="1" w:styleId="383">
    <w:name w:val="WW8Num2z1"/>
    <w:qFormat/>
    <w:uiPriority w:val="0"/>
    <w:rPr>
      <w:rFonts w:hint="default" w:ascii="Courier New" w:hAnsi="Courier New" w:cs="Courier New"/>
    </w:rPr>
  </w:style>
  <w:style w:type="character" w:customStyle="1" w:styleId="384">
    <w:name w:val="WW8Num2z2"/>
    <w:qFormat/>
    <w:uiPriority w:val="0"/>
    <w:rPr>
      <w:rFonts w:hint="default" w:ascii="Wingdings" w:hAnsi="Wingdings" w:cs="Wingdings"/>
    </w:rPr>
  </w:style>
  <w:style w:type="character" w:customStyle="1" w:styleId="385">
    <w:name w:val="WW8Num3z3"/>
    <w:qFormat/>
    <w:uiPriority w:val="0"/>
  </w:style>
  <w:style w:type="character" w:customStyle="1" w:styleId="386">
    <w:name w:val="WW8Num3z4"/>
    <w:qFormat/>
    <w:uiPriority w:val="0"/>
  </w:style>
  <w:style w:type="character" w:customStyle="1" w:styleId="387">
    <w:name w:val="WW8Num3z5"/>
    <w:qFormat/>
    <w:uiPriority w:val="0"/>
  </w:style>
  <w:style w:type="character" w:customStyle="1" w:styleId="388">
    <w:name w:val="WW8Num3z6"/>
    <w:qFormat/>
    <w:uiPriority w:val="0"/>
  </w:style>
  <w:style w:type="character" w:customStyle="1" w:styleId="389">
    <w:name w:val="WW8Num3z7"/>
    <w:qFormat/>
    <w:uiPriority w:val="0"/>
  </w:style>
  <w:style w:type="character" w:customStyle="1" w:styleId="390">
    <w:name w:val="WW8Num3z8"/>
    <w:qFormat/>
    <w:uiPriority w:val="0"/>
  </w:style>
  <w:style w:type="character" w:customStyle="1" w:styleId="391">
    <w:name w:val="WW8Num4z3"/>
    <w:qFormat/>
    <w:uiPriority w:val="0"/>
  </w:style>
  <w:style w:type="character" w:customStyle="1" w:styleId="392">
    <w:name w:val="WW8Num4z4"/>
    <w:qFormat/>
    <w:uiPriority w:val="0"/>
  </w:style>
  <w:style w:type="character" w:customStyle="1" w:styleId="393">
    <w:name w:val="WW8Num4z5"/>
    <w:qFormat/>
    <w:uiPriority w:val="0"/>
  </w:style>
  <w:style w:type="character" w:customStyle="1" w:styleId="394">
    <w:name w:val="WW8Num4z6"/>
    <w:qFormat/>
    <w:uiPriority w:val="0"/>
  </w:style>
  <w:style w:type="character" w:customStyle="1" w:styleId="395">
    <w:name w:val="WW8Num4z7"/>
    <w:qFormat/>
    <w:uiPriority w:val="0"/>
  </w:style>
  <w:style w:type="character" w:customStyle="1" w:styleId="396">
    <w:name w:val="WW8Num4z8"/>
    <w:qFormat/>
    <w:uiPriority w:val="0"/>
  </w:style>
  <w:style w:type="character" w:customStyle="1" w:styleId="397">
    <w:name w:val="WW8Num5z3"/>
    <w:qFormat/>
    <w:uiPriority w:val="0"/>
  </w:style>
  <w:style w:type="character" w:customStyle="1" w:styleId="398">
    <w:name w:val="WW8Num5z4"/>
    <w:qFormat/>
    <w:uiPriority w:val="0"/>
  </w:style>
  <w:style w:type="character" w:customStyle="1" w:styleId="399">
    <w:name w:val="WW8Num5z5"/>
    <w:qFormat/>
    <w:uiPriority w:val="0"/>
  </w:style>
  <w:style w:type="character" w:customStyle="1" w:styleId="400">
    <w:name w:val="WW8Num5z6"/>
    <w:qFormat/>
    <w:uiPriority w:val="0"/>
  </w:style>
  <w:style w:type="character" w:customStyle="1" w:styleId="401">
    <w:name w:val="WW8Num5z7"/>
    <w:qFormat/>
    <w:uiPriority w:val="0"/>
  </w:style>
  <w:style w:type="character" w:customStyle="1" w:styleId="402">
    <w:name w:val="WW8Num5z8"/>
    <w:qFormat/>
    <w:uiPriority w:val="0"/>
  </w:style>
  <w:style w:type="character" w:customStyle="1" w:styleId="403">
    <w:name w:val="WW8Num8z0"/>
    <w:qFormat/>
    <w:uiPriority w:val="0"/>
    <w:rPr>
      <w:rFonts w:hint="default"/>
      <w:b/>
    </w:rPr>
  </w:style>
  <w:style w:type="character" w:customStyle="1" w:styleId="404">
    <w:name w:val="WW8Num8z1"/>
    <w:qFormat/>
    <w:uiPriority w:val="0"/>
  </w:style>
  <w:style w:type="character" w:customStyle="1" w:styleId="405">
    <w:name w:val="WW8Num8z2"/>
    <w:qFormat/>
    <w:uiPriority w:val="0"/>
  </w:style>
  <w:style w:type="character" w:customStyle="1" w:styleId="406">
    <w:name w:val="WW8Num8z3"/>
    <w:qFormat/>
    <w:uiPriority w:val="0"/>
  </w:style>
  <w:style w:type="character" w:customStyle="1" w:styleId="407">
    <w:name w:val="WW8Num8z4"/>
    <w:qFormat/>
    <w:uiPriority w:val="0"/>
  </w:style>
  <w:style w:type="character" w:customStyle="1" w:styleId="408">
    <w:name w:val="WW8Num8z5"/>
    <w:qFormat/>
    <w:uiPriority w:val="0"/>
  </w:style>
  <w:style w:type="character" w:customStyle="1" w:styleId="409">
    <w:name w:val="WW8Num8z6"/>
    <w:qFormat/>
    <w:uiPriority w:val="0"/>
  </w:style>
  <w:style w:type="character" w:customStyle="1" w:styleId="410">
    <w:name w:val="WW8Num8z7"/>
    <w:qFormat/>
    <w:uiPriority w:val="0"/>
  </w:style>
  <w:style w:type="character" w:customStyle="1" w:styleId="411">
    <w:name w:val="WW8Num8z8"/>
    <w:qFormat/>
    <w:uiPriority w:val="0"/>
  </w:style>
  <w:style w:type="character" w:customStyle="1" w:styleId="412">
    <w:name w:val="WW8Num9z0"/>
    <w:qFormat/>
    <w:uiPriority w:val="0"/>
    <w:rPr>
      <w:rFonts w:hint="default"/>
    </w:rPr>
  </w:style>
  <w:style w:type="character" w:customStyle="1" w:styleId="413">
    <w:name w:val="WW8Num9z1"/>
    <w:qFormat/>
    <w:uiPriority w:val="0"/>
    <w:rPr>
      <w:rFonts w:hint="default"/>
      <w:b/>
    </w:rPr>
  </w:style>
  <w:style w:type="character" w:customStyle="1" w:styleId="414">
    <w:name w:val="WW8Num10z1"/>
    <w:qFormat/>
    <w:uiPriority w:val="0"/>
    <w:rPr>
      <w:rFonts w:hint="default"/>
      <w:b/>
      <w:color w:val="auto"/>
    </w:rPr>
  </w:style>
  <w:style w:type="character" w:customStyle="1" w:styleId="415">
    <w:name w:val="WW8Num10z2"/>
    <w:qFormat/>
    <w:uiPriority w:val="0"/>
    <w:rPr>
      <w:rFonts w:hint="default"/>
      <w:color w:val="auto"/>
    </w:rPr>
  </w:style>
  <w:style w:type="character" w:customStyle="1" w:styleId="416">
    <w:name w:val="WW8Num13z2"/>
    <w:qFormat/>
    <w:uiPriority w:val="0"/>
  </w:style>
  <w:style w:type="character" w:customStyle="1" w:styleId="417">
    <w:name w:val="WW8Num13z3"/>
    <w:qFormat/>
    <w:uiPriority w:val="0"/>
  </w:style>
  <w:style w:type="character" w:customStyle="1" w:styleId="418">
    <w:name w:val="WW8Num13z4"/>
    <w:qFormat/>
    <w:uiPriority w:val="0"/>
  </w:style>
  <w:style w:type="character" w:customStyle="1" w:styleId="419">
    <w:name w:val="WW8Num13z5"/>
    <w:qFormat/>
    <w:uiPriority w:val="0"/>
  </w:style>
  <w:style w:type="character" w:customStyle="1" w:styleId="420">
    <w:name w:val="WW8Num13z6"/>
    <w:qFormat/>
    <w:uiPriority w:val="0"/>
  </w:style>
  <w:style w:type="character" w:customStyle="1" w:styleId="421">
    <w:name w:val="WW8Num13z7"/>
    <w:qFormat/>
    <w:uiPriority w:val="0"/>
  </w:style>
  <w:style w:type="character" w:customStyle="1" w:styleId="422">
    <w:name w:val="WW8Num13z8"/>
    <w:qFormat/>
    <w:uiPriority w:val="0"/>
  </w:style>
  <w:style w:type="character" w:customStyle="1" w:styleId="423">
    <w:name w:val="WW8Num14z0"/>
    <w:qFormat/>
    <w:uiPriority w:val="0"/>
    <w:rPr>
      <w:rFonts w:hint="default"/>
      <w:b/>
      <w:sz w:val="24"/>
      <w:szCs w:val="24"/>
    </w:rPr>
  </w:style>
  <w:style w:type="character" w:customStyle="1" w:styleId="424">
    <w:name w:val="WW8Num14z4"/>
    <w:qFormat/>
    <w:uiPriority w:val="0"/>
  </w:style>
  <w:style w:type="character" w:customStyle="1" w:styleId="425">
    <w:name w:val="WW8Num14z5"/>
    <w:qFormat/>
    <w:uiPriority w:val="0"/>
  </w:style>
  <w:style w:type="character" w:customStyle="1" w:styleId="426">
    <w:name w:val="WW8Num14z6"/>
    <w:qFormat/>
    <w:uiPriority w:val="0"/>
  </w:style>
  <w:style w:type="character" w:customStyle="1" w:styleId="427">
    <w:name w:val="WW8Num14z7"/>
    <w:qFormat/>
    <w:uiPriority w:val="0"/>
  </w:style>
  <w:style w:type="character" w:customStyle="1" w:styleId="428">
    <w:name w:val="WW8Num14z8"/>
    <w:qFormat/>
    <w:uiPriority w:val="0"/>
  </w:style>
  <w:style w:type="character" w:customStyle="1" w:styleId="429">
    <w:name w:val="WW8Num15z0"/>
    <w:qFormat/>
    <w:uiPriority w:val="0"/>
    <w:rPr>
      <w:rFonts w:hint="default"/>
      <w:b/>
    </w:rPr>
  </w:style>
  <w:style w:type="character" w:customStyle="1" w:styleId="430">
    <w:name w:val="WW8Num15z1"/>
    <w:qFormat/>
    <w:uiPriority w:val="0"/>
  </w:style>
  <w:style w:type="character" w:customStyle="1" w:styleId="431">
    <w:name w:val="WW8Num15z2"/>
    <w:qFormat/>
    <w:uiPriority w:val="0"/>
  </w:style>
  <w:style w:type="character" w:customStyle="1" w:styleId="432">
    <w:name w:val="WW8Num15z3"/>
    <w:qFormat/>
    <w:uiPriority w:val="0"/>
  </w:style>
  <w:style w:type="character" w:customStyle="1" w:styleId="433">
    <w:name w:val="WW8Num15z4"/>
    <w:qFormat/>
    <w:uiPriority w:val="0"/>
  </w:style>
  <w:style w:type="character" w:customStyle="1" w:styleId="434">
    <w:name w:val="WW8Num15z5"/>
    <w:qFormat/>
    <w:uiPriority w:val="0"/>
  </w:style>
  <w:style w:type="character" w:customStyle="1" w:styleId="435">
    <w:name w:val="WW8Num15z6"/>
    <w:qFormat/>
    <w:uiPriority w:val="0"/>
  </w:style>
  <w:style w:type="character" w:customStyle="1" w:styleId="436">
    <w:name w:val="WW8Num15z7"/>
    <w:qFormat/>
    <w:uiPriority w:val="0"/>
  </w:style>
  <w:style w:type="character" w:customStyle="1" w:styleId="437">
    <w:name w:val="WW8Num15z8"/>
    <w:qFormat/>
    <w:uiPriority w:val="0"/>
  </w:style>
  <w:style w:type="character" w:customStyle="1" w:styleId="438">
    <w:name w:val="WW8Num16z0"/>
    <w:qFormat/>
    <w:uiPriority w:val="0"/>
    <w:rPr>
      <w:rFonts w:hint="default"/>
    </w:rPr>
  </w:style>
  <w:style w:type="character" w:customStyle="1" w:styleId="439">
    <w:name w:val="WW8Num16z1"/>
    <w:qFormat/>
    <w:uiPriority w:val="0"/>
  </w:style>
  <w:style w:type="character" w:customStyle="1" w:styleId="440">
    <w:name w:val="WW8Num16z2"/>
    <w:qFormat/>
    <w:uiPriority w:val="0"/>
  </w:style>
  <w:style w:type="character" w:customStyle="1" w:styleId="441">
    <w:name w:val="WW8Num16z3"/>
    <w:qFormat/>
    <w:uiPriority w:val="0"/>
  </w:style>
  <w:style w:type="character" w:customStyle="1" w:styleId="442">
    <w:name w:val="WW8Num16z4"/>
    <w:qFormat/>
    <w:uiPriority w:val="0"/>
  </w:style>
  <w:style w:type="character" w:customStyle="1" w:styleId="443">
    <w:name w:val="WW8Num16z5"/>
    <w:qFormat/>
    <w:uiPriority w:val="0"/>
  </w:style>
  <w:style w:type="character" w:customStyle="1" w:styleId="444">
    <w:name w:val="WW8Num16z6"/>
    <w:qFormat/>
    <w:uiPriority w:val="0"/>
  </w:style>
  <w:style w:type="character" w:customStyle="1" w:styleId="445">
    <w:name w:val="WW8Num16z7"/>
    <w:qFormat/>
    <w:uiPriority w:val="0"/>
  </w:style>
  <w:style w:type="character" w:customStyle="1" w:styleId="446">
    <w:name w:val="WW8Num16z8"/>
    <w:qFormat/>
    <w:uiPriority w:val="0"/>
  </w:style>
  <w:style w:type="character" w:customStyle="1" w:styleId="447">
    <w:name w:val="WW8Num17z0"/>
    <w:qFormat/>
    <w:uiPriority w:val="0"/>
    <w:rPr>
      <w:rFonts w:hint="default"/>
    </w:rPr>
  </w:style>
  <w:style w:type="character" w:customStyle="1" w:styleId="448">
    <w:name w:val="WW8Num18z0"/>
    <w:qFormat/>
    <w:uiPriority w:val="0"/>
    <w:rPr>
      <w:rFonts w:hint="default"/>
    </w:rPr>
  </w:style>
  <w:style w:type="character" w:customStyle="1" w:styleId="449">
    <w:name w:val="WW8Num18z1"/>
    <w:qFormat/>
    <w:uiPriority w:val="0"/>
    <w:rPr>
      <w:rFonts w:hint="default"/>
      <w:b/>
    </w:rPr>
  </w:style>
  <w:style w:type="character" w:customStyle="1" w:styleId="450">
    <w:name w:val="WW8Num19z1"/>
    <w:qFormat/>
    <w:uiPriority w:val="0"/>
  </w:style>
  <w:style w:type="character" w:customStyle="1" w:styleId="451">
    <w:name w:val="WW8Num19z2"/>
    <w:qFormat/>
    <w:uiPriority w:val="0"/>
  </w:style>
  <w:style w:type="character" w:customStyle="1" w:styleId="452">
    <w:name w:val="WW8Num19z3"/>
    <w:qFormat/>
    <w:uiPriority w:val="0"/>
  </w:style>
  <w:style w:type="character" w:customStyle="1" w:styleId="453">
    <w:name w:val="WW8Num19z4"/>
    <w:qFormat/>
    <w:uiPriority w:val="0"/>
  </w:style>
  <w:style w:type="character" w:customStyle="1" w:styleId="454">
    <w:name w:val="WW8Num19z5"/>
    <w:qFormat/>
    <w:uiPriority w:val="0"/>
  </w:style>
  <w:style w:type="character" w:customStyle="1" w:styleId="455">
    <w:name w:val="WW8Num19z6"/>
    <w:qFormat/>
    <w:uiPriority w:val="0"/>
  </w:style>
  <w:style w:type="character" w:customStyle="1" w:styleId="456">
    <w:name w:val="WW8Num19z7"/>
    <w:qFormat/>
    <w:uiPriority w:val="0"/>
  </w:style>
  <w:style w:type="character" w:customStyle="1" w:styleId="457">
    <w:name w:val="WW8Num19z8"/>
    <w:qFormat/>
    <w:uiPriority w:val="0"/>
  </w:style>
  <w:style w:type="character" w:customStyle="1" w:styleId="458">
    <w:name w:val="WW8Num21z0"/>
    <w:qFormat/>
    <w:uiPriority w:val="0"/>
    <w:rPr>
      <w:rFonts w:hint="default"/>
    </w:rPr>
  </w:style>
  <w:style w:type="character" w:customStyle="1" w:styleId="459">
    <w:name w:val="WW8Num21z1"/>
    <w:qFormat/>
    <w:uiPriority w:val="0"/>
    <w:rPr>
      <w:rFonts w:hint="default"/>
      <w:b/>
    </w:rPr>
  </w:style>
  <w:style w:type="character" w:customStyle="1" w:styleId="460">
    <w:name w:val="WW8Num21z2"/>
    <w:qFormat/>
    <w:uiPriority w:val="0"/>
    <w:rPr>
      <w:rFonts w:hint="default"/>
      <w:b/>
      <w:color w:val="000000"/>
    </w:rPr>
  </w:style>
  <w:style w:type="character" w:customStyle="1" w:styleId="461">
    <w:name w:val="WW8Num22z0"/>
    <w:qFormat/>
    <w:uiPriority w:val="0"/>
    <w:rPr>
      <w:rFonts w:hint="default"/>
      <w:b/>
    </w:rPr>
  </w:style>
  <w:style w:type="character" w:customStyle="1" w:styleId="462">
    <w:name w:val="WW8Num22z2"/>
    <w:qFormat/>
    <w:uiPriority w:val="0"/>
  </w:style>
  <w:style w:type="character" w:customStyle="1" w:styleId="463">
    <w:name w:val="WW8Num22z4"/>
    <w:qFormat/>
    <w:uiPriority w:val="0"/>
  </w:style>
  <w:style w:type="character" w:customStyle="1" w:styleId="464">
    <w:name w:val="WW8Num22z5"/>
    <w:qFormat/>
    <w:uiPriority w:val="0"/>
  </w:style>
  <w:style w:type="character" w:customStyle="1" w:styleId="465">
    <w:name w:val="WW8Num22z6"/>
    <w:qFormat/>
    <w:uiPriority w:val="0"/>
  </w:style>
  <w:style w:type="character" w:customStyle="1" w:styleId="466">
    <w:name w:val="WW8Num22z7"/>
    <w:qFormat/>
    <w:uiPriority w:val="0"/>
  </w:style>
  <w:style w:type="character" w:customStyle="1" w:styleId="467">
    <w:name w:val="WW8Num22z8"/>
    <w:qFormat/>
    <w:uiPriority w:val="0"/>
  </w:style>
  <w:style w:type="character" w:customStyle="1" w:styleId="468">
    <w:name w:val="WW8Num23z0"/>
    <w:qFormat/>
    <w:uiPriority w:val="0"/>
    <w:rPr>
      <w:rFonts w:hint="default"/>
    </w:rPr>
  </w:style>
  <w:style w:type="character" w:customStyle="1" w:styleId="469">
    <w:name w:val="WW8Num23z1"/>
    <w:qFormat/>
    <w:uiPriority w:val="0"/>
    <w:rPr>
      <w:rFonts w:hint="default"/>
      <w:b/>
    </w:rPr>
  </w:style>
  <w:style w:type="character" w:customStyle="1" w:styleId="470">
    <w:name w:val="WW8Num25z0"/>
    <w:qFormat/>
    <w:uiPriority w:val="0"/>
    <w:rPr>
      <w:rFonts w:hint="default"/>
    </w:rPr>
  </w:style>
  <w:style w:type="character" w:customStyle="1" w:styleId="471">
    <w:name w:val="WW8Num25z2"/>
    <w:qFormat/>
    <w:uiPriority w:val="0"/>
    <w:rPr>
      <w:rFonts w:hint="default"/>
      <w:b/>
    </w:rPr>
  </w:style>
  <w:style w:type="character" w:customStyle="1" w:styleId="472">
    <w:name w:val="WW8Num26z1"/>
    <w:qFormat/>
    <w:uiPriority w:val="0"/>
  </w:style>
  <w:style w:type="character" w:customStyle="1" w:styleId="473">
    <w:name w:val="WW8Num26z2"/>
    <w:qFormat/>
    <w:uiPriority w:val="0"/>
  </w:style>
  <w:style w:type="character" w:customStyle="1" w:styleId="474">
    <w:name w:val="WW8Num26z3"/>
    <w:qFormat/>
    <w:uiPriority w:val="0"/>
  </w:style>
  <w:style w:type="character" w:customStyle="1" w:styleId="475">
    <w:name w:val="WW8Num26z4"/>
    <w:qFormat/>
    <w:uiPriority w:val="0"/>
  </w:style>
  <w:style w:type="character" w:customStyle="1" w:styleId="476">
    <w:name w:val="WW8Num26z5"/>
    <w:qFormat/>
    <w:uiPriority w:val="0"/>
  </w:style>
  <w:style w:type="character" w:customStyle="1" w:styleId="477">
    <w:name w:val="WW8Num26z6"/>
    <w:qFormat/>
    <w:uiPriority w:val="0"/>
  </w:style>
  <w:style w:type="character" w:customStyle="1" w:styleId="478">
    <w:name w:val="WW8Num26z7"/>
    <w:qFormat/>
    <w:uiPriority w:val="0"/>
  </w:style>
  <w:style w:type="character" w:customStyle="1" w:styleId="479">
    <w:name w:val="WW8Num26z8"/>
    <w:qFormat/>
    <w:uiPriority w:val="0"/>
  </w:style>
  <w:style w:type="character" w:customStyle="1" w:styleId="480">
    <w:name w:val="WW8Num27z0"/>
    <w:qFormat/>
    <w:uiPriority w:val="0"/>
    <w:rPr>
      <w:rFonts w:hint="default"/>
    </w:rPr>
  </w:style>
  <w:style w:type="character" w:customStyle="1" w:styleId="481">
    <w:name w:val="WW8Num28z0"/>
    <w:qFormat/>
    <w:uiPriority w:val="0"/>
    <w:rPr>
      <w:rFonts w:hint="default" w:eastAsia="Times New Roman"/>
    </w:rPr>
  </w:style>
  <w:style w:type="character" w:customStyle="1" w:styleId="482">
    <w:name w:val="WW8Num28z1"/>
    <w:qFormat/>
    <w:uiPriority w:val="0"/>
    <w:rPr>
      <w:rFonts w:hint="default" w:cs="Times New Roman"/>
      <w:b/>
      <w:sz w:val="20"/>
    </w:rPr>
  </w:style>
  <w:style w:type="character" w:customStyle="1" w:styleId="483">
    <w:name w:val="WW8Num28z4"/>
    <w:qFormat/>
    <w:uiPriority w:val="0"/>
    <w:rPr>
      <w:rFonts w:hint="default" w:cs="Times New Roman"/>
      <w:sz w:val="20"/>
    </w:rPr>
  </w:style>
  <w:style w:type="character" w:customStyle="1" w:styleId="484">
    <w:name w:val="WW8Num30z3"/>
    <w:qFormat/>
    <w:uiPriority w:val="0"/>
  </w:style>
  <w:style w:type="character" w:customStyle="1" w:styleId="485">
    <w:name w:val="WW8Num30z4"/>
    <w:qFormat/>
    <w:uiPriority w:val="0"/>
  </w:style>
  <w:style w:type="character" w:customStyle="1" w:styleId="486">
    <w:name w:val="WW8Num30z5"/>
    <w:qFormat/>
    <w:uiPriority w:val="0"/>
  </w:style>
  <w:style w:type="character" w:customStyle="1" w:styleId="487">
    <w:name w:val="WW8Num30z6"/>
    <w:qFormat/>
    <w:uiPriority w:val="0"/>
  </w:style>
  <w:style w:type="character" w:customStyle="1" w:styleId="488">
    <w:name w:val="WW8Num30z7"/>
    <w:qFormat/>
    <w:uiPriority w:val="0"/>
  </w:style>
  <w:style w:type="character" w:customStyle="1" w:styleId="489">
    <w:name w:val="WW8Num30z8"/>
    <w:qFormat/>
    <w:uiPriority w:val="0"/>
  </w:style>
  <w:style w:type="character" w:customStyle="1" w:styleId="490">
    <w:name w:val="WW8Num31z0"/>
    <w:qFormat/>
    <w:uiPriority w:val="0"/>
    <w:rPr>
      <w:rFonts w:hint="default"/>
    </w:rPr>
  </w:style>
  <w:style w:type="character" w:customStyle="1" w:styleId="491">
    <w:name w:val="WW8Num32z0"/>
    <w:qFormat/>
    <w:uiPriority w:val="0"/>
    <w:rPr>
      <w:rFonts w:hint="default"/>
    </w:rPr>
  </w:style>
  <w:style w:type="character" w:customStyle="1" w:styleId="492">
    <w:name w:val="WW8Num33z0"/>
    <w:qFormat/>
    <w:uiPriority w:val="0"/>
    <w:rPr>
      <w:rFonts w:hint="default"/>
    </w:rPr>
  </w:style>
  <w:style w:type="character" w:customStyle="1" w:styleId="493">
    <w:name w:val="WW8Num33z1"/>
    <w:qFormat/>
    <w:uiPriority w:val="0"/>
    <w:rPr>
      <w:rFonts w:hint="default"/>
      <w:b/>
    </w:rPr>
  </w:style>
  <w:style w:type="character" w:customStyle="1" w:styleId="494">
    <w:name w:val="WW8Num34z0"/>
    <w:qFormat/>
    <w:uiPriority w:val="0"/>
  </w:style>
  <w:style w:type="character" w:customStyle="1" w:styleId="495">
    <w:name w:val="WW8Num34z1"/>
    <w:qFormat/>
    <w:uiPriority w:val="0"/>
  </w:style>
  <w:style w:type="character" w:customStyle="1" w:styleId="496">
    <w:name w:val="WW8Num34z2"/>
    <w:qFormat/>
    <w:uiPriority w:val="0"/>
  </w:style>
  <w:style w:type="character" w:customStyle="1" w:styleId="497">
    <w:name w:val="WW8Num34z3"/>
    <w:qFormat/>
    <w:uiPriority w:val="0"/>
  </w:style>
  <w:style w:type="character" w:customStyle="1" w:styleId="498">
    <w:name w:val="WW8Num34z4"/>
    <w:qFormat/>
    <w:uiPriority w:val="0"/>
  </w:style>
  <w:style w:type="character" w:customStyle="1" w:styleId="499">
    <w:name w:val="WW8Num34z5"/>
    <w:qFormat/>
    <w:uiPriority w:val="0"/>
  </w:style>
  <w:style w:type="character" w:customStyle="1" w:styleId="500">
    <w:name w:val="WW8Num34z6"/>
    <w:qFormat/>
    <w:uiPriority w:val="0"/>
  </w:style>
  <w:style w:type="character" w:customStyle="1" w:styleId="501">
    <w:name w:val="WW8Num34z7"/>
    <w:qFormat/>
    <w:uiPriority w:val="0"/>
  </w:style>
  <w:style w:type="character" w:customStyle="1" w:styleId="502">
    <w:name w:val="WW8Num34z8"/>
    <w:qFormat/>
    <w:uiPriority w:val="0"/>
  </w:style>
  <w:style w:type="character" w:customStyle="1" w:styleId="503">
    <w:name w:val="WW8Num35z0"/>
    <w:qFormat/>
    <w:uiPriority w:val="0"/>
    <w:rPr>
      <w:rFonts w:hint="default"/>
    </w:rPr>
  </w:style>
  <w:style w:type="character" w:customStyle="1" w:styleId="504">
    <w:name w:val="WW8Num35z1"/>
    <w:qFormat/>
    <w:uiPriority w:val="0"/>
  </w:style>
  <w:style w:type="character" w:customStyle="1" w:styleId="505">
    <w:name w:val="WW8Num35z2"/>
    <w:qFormat/>
    <w:uiPriority w:val="0"/>
  </w:style>
  <w:style w:type="character" w:customStyle="1" w:styleId="506">
    <w:name w:val="WW8Num35z3"/>
    <w:qFormat/>
    <w:uiPriority w:val="0"/>
  </w:style>
  <w:style w:type="character" w:customStyle="1" w:styleId="507">
    <w:name w:val="WW8Num35z4"/>
    <w:qFormat/>
    <w:uiPriority w:val="0"/>
  </w:style>
  <w:style w:type="character" w:customStyle="1" w:styleId="508">
    <w:name w:val="WW8Num35z5"/>
    <w:qFormat/>
    <w:uiPriority w:val="0"/>
  </w:style>
  <w:style w:type="character" w:customStyle="1" w:styleId="509">
    <w:name w:val="WW8Num35z6"/>
    <w:qFormat/>
    <w:uiPriority w:val="0"/>
  </w:style>
  <w:style w:type="character" w:customStyle="1" w:styleId="510">
    <w:name w:val="WW8Num35z7"/>
    <w:qFormat/>
    <w:uiPriority w:val="0"/>
  </w:style>
  <w:style w:type="character" w:customStyle="1" w:styleId="511">
    <w:name w:val="WW8Num35z8"/>
    <w:qFormat/>
    <w:uiPriority w:val="0"/>
  </w:style>
  <w:style w:type="character" w:customStyle="1" w:styleId="512">
    <w:name w:val="WW8Num36z0"/>
    <w:qFormat/>
    <w:uiPriority w:val="0"/>
    <w:rPr>
      <w:rFonts w:hint="default"/>
      <w:b/>
      <w:color w:val="auto"/>
    </w:rPr>
  </w:style>
  <w:style w:type="character" w:customStyle="1" w:styleId="513">
    <w:name w:val="WW8Num36z1"/>
    <w:qFormat/>
    <w:uiPriority w:val="0"/>
  </w:style>
  <w:style w:type="character" w:customStyle="1" w:styleId="514">
    <w:name w:val="WW8Num36z2"/>
    <w:qFormat/>
    <w:uiPriority w:val="0"/>
  </w:style>
  <w:style w:type="character" w:customStyle="1" w:styleId="515">
    <w:name w:val="WW8Num36z3"/>
    <w:qFormat/>
    <w:uiPriority w:val="0"/>
  </w:style>
  <w:style w:type="character" w:customStyle="1" w:styleId="516">
    <w:name w:val="WW8Num36z4"/>
    <w:qFormat/>
    <w:uiPriority w:val="0"/>
  </w:style>
  <w:style w:type="character" w:customStyle="1" w:styleId="517">
    <w:name w:val="WW8Num36z5"/>
    <w:qFormat/>
    <w:uiPriority w:val="0"/>
  </w:style>
  <w:style w:type="character" w:customStyle="1" w:styleId="518">
    <w:name w:val="WW8Num36z6"/>
    <w:qFormat/>
    <w:uiPriority w:val="0"/>
  </w:style>
  <w:style w:type="character" w:customStyle="1" w:styleId="519">
    <w:name w:val="WW8Num36z7"/>
    <w:qFormat/>
    <w:uiPriority w:val="0"/>
  </w:style>
  <w:style w:type="character" w:customStyle="1" w:styleId="520">
    <w:name w:val="WW8Num36z8"/>
    <w:qFormat/>
    <w:uiPriority w:val="0"/>
  </w:style>
  <w:style w:type="character" w:customStyle="1" w:styleId="521">
    <w:name w:val="WW8Num37z0"/>
    <w:qFormat/>
    <w:uiPriority w:val="0"/>
    <w:rPr>
      <w:rFonts w:hint="default"/>
    </w:rPr>
  </w:style>
  <w:style w:type="character" w:customStyle="1" w:styleId="522">
    <w:name w:val="WW8Num37z2"/>
    <w:qFormat/>
    <w:uiPriority w:val="0"/>
    <w:rPr>
      <w:rFonts w:hint="default"/>
      <w:b/>
    </w:rPr>
  </w:style>
  <w:style w:type="character" w:customStyle="1" w:styleId="523">
    <w:name w:val="WW8Num38z0"/>
    <w:qFormat/>
    <w:uiPriority w:val="0"/>
    <w:rPr>
      <w:rFonts w:hint="default"/>
      <w:b/>
    </w:rPr>
  </w:style>
  <w:style w:type="character" w:customStyle="1" w:styleId="524">
    <w:name w:val="WW8Num38z5"/>
    <w:qFormat/>
    <w:uiPriority w:val="0"/>
    <w:rPr>
      <w:rFonts w:hint="default"/>
    </w:rPr>
  </w:style>
  <w:style w:type="character" w:customStyle="1" w:styleId="525">
    <w:name w:val="WW8Num39z0"/>
    <w:qFormat/>
    <w:uiPriority w:val="0"/>
  </w:style>
  <w:style w:type="character" w:customStyle="1" w:styleId="526">
    <w:name w:val="WW8Num39z1"/>
    <w:qFormat/>
    <w:uiPriority w:val="0"/>
  </w:style>
  <w:style w:type="character" w:customStyle="1" w:styleId="527">
    <w:name w:val="WW8Num39z2"/>
    <w:qFormat/>
    <w:uiPriority w:val="0"/>
  </w:style>
  <w:style w:type="character" w:customStyle="1" w:styleId="528">
    <w:name w:val="WW8Num39z3"/>
    <w:qFormat/>
    <w:uiPriority w:val="0"/>
  </w:style>
  <w:style w:type="character" w:customStyle="1" w:styleId="529">
    <w:name w:val="WW8Num39z4"/>
    <w:qFormat/>
    <w:uiPriority w:val="0"/>
  </w:style>
  <w:style w:type="character" w:customStyle="1" w:styleId="530">
    <w:name w:val="WW8Num39z5"/>
    <w:qFormat/>
    <w:uiPriority w:val="0"/>
  </w:style>
  <w:style w:type="character" w:customStyle="1" w:styleId="531">
    <w:name w:val="WW8Num39z6"/>
    <w:qFormat/>
    <w:uiPriority w:val="0"/>
  </w:style>
  <w:style w:type="character" w:customStyle="1" w:styleId="532">
    <w:name w:val="WW8Num39z7"/>
    <w:qFormat/>
    <w:uiPriority w:val="0"/>
  </w:style>
  <w:style w:type="character" w:customStyle="1" w:styleId="533">
    <w:name w:val="WW8Num39z8"/>
    <w:qFormat/>
    <w:uiPriority w:val="0"/>
  </w:style>
  <w:style w:type="character" w:customStyle="1" w:styleId="534">
    <w:name w:val="Caracteres de nota de rodapé"/>
    <w:qFormat/>
    <w:uiPriority w:val="0"/>
    <w:rPr>
      <w:vertAlign w:val="superscript"/>
    </w:rPr>
  </w:style>
  <w:style w:type="paragraph" w:customStyle="1" w:styleId="535">
    <w:name w:val="Título2"/>
    <w:basedOn w:val="1"/>
    <w:next w:val="22"/>
    <w:qFormat/>
    <w:uiPriority w:val="0"/>
    <w:pPr>
      <w:suppressAutoHyphens/>
      <w:ind w:right="278"/>
      <w:jc w:val="center"/>
    </w:pPr>
    <w:rPr>
      <w:b/>
      <w:sz w:val="32"/>
      <w:szCs w:val="20"/>
      <w:lang w:eastAsia="zh-CN"/>
    </w:rPr>
  </w:style>
  <w:style w:type="paragraph" w:customStyle="1" w:styleId="536">
    <w:name w:val="Recuo de corpo de texto 32"/>
    <w:basedOn w:val="1"/>
    <w:qFormat/>
    <w:uiPriority w:val="0"/>
    <w:pPr>
      <w:suppressAutoHyphens/>
      <w:spacing w:before="280" w:after="280"/>
      <w:ind w:left="1080"/>
      <w:jc w:val="both"/>
    </w:pPr>
    <w:rPr>
      <w:rFonts w:ascii="Arial" w:hAnsi="Arial" w:cs="Arial"/>
      <w:sz w:val="24"/>
      <w:szCs w:val="20"/>
      <w:lang w:eastAsia="zh-CN"/>
    </w:rPr>
  </w:style>
  <w:style w:type="paragraph" w:customStyle="1" w:styleId="537">
    <w:name w:val="Texto de comentário2"/>
    <w:basedOn w:val="1"/>
    <w:qFormat/>
    <w:uiPriority w:val="0"/>
    <w:pPr>
      <w:suppressAutoHyphens/>
    </w:pPr>
    <w:rPr>
      <w:sz w:val="20"/>
      <w:szCs w:val="20"/>
      <w:lang w:eastAsia="zh-CN"/>
    </w:rPr>
  </w:style>
  <w:style w:type="paragraph" w:customStyle="1" w:styleId="538">
    <w:name w:val="Mapa do Documento1"/>
    <w:basedOn w:val="1"/>
    <w:qFormat/>
    <w:uiPriority w:val="0"/>
    <w:pPr>
      <w:suppressAutoHyphens/>
    </w:pPr>
    <w:rPr>
      <w:rFonts w:ascii="Tahoma" w:hAnsi="Tahoma" w:cs="Tahoma"/>
      <w:sz w:val="16"/>
      <w:szCs w:val="16"/>
      <w:lang w:eastAsia="zh-CN"/>
    </w:rPr>
  </w:style>
  <w:style w:type="paragraph" w:customStyle="1" w:styleId="539">
    <w:name w:val="Texto sem Formatação1"/>
    <w:basedOn w:val="1"/>
    <w:qFormat/>
    <w:uiPriority w:val="0"/>
    <w:pPr>
      <w:suppressAutoHyphens/>
      <w:jc w:val="both"/>
    </w:pPr>
    <w:rPr>
      <w:rFonts w:ascii="Courier New" w:hAnsi="Courier New" w:cs="Courier New"/>
      <w:sz w:val="20"/>
      <w:szCs w:val="20"/>
      <w:lang w:eastAsia="zh-CN"/>
    </w:rPr>
  </w:style>
  <w:style w:type="paragraph" w:customStyle="1" w:styleId="540">
    <w:name w:val="Texto em bloco1"/>
    <w:basedOn w:val="1"/>
    <w:qFormat/>
    <w:uiPriority w:val="0"/>
    <w:pPr>
      <w:suppressAutoHyphens/>
      <w:ind w:left="1080" w:right="48"/>
      <w:jc w:val="both"/>
    </w:pPr>
    <w:rPr>
      <w:color w:val="000000"/>
      <w:sz w:val="24"/>
      <w:szCs w:val="24"/>
      <w:lang w:eastAsia="zh-CN"/>
    </w:rPr>
  </w:style>
  <w:style w:type="paragraph" w:customStyle="1" w:styleId="541">
    <w:name w:val="Conteúdo do quadro"/>
    <w:basedOn w:val="1"/>
    <w:qFormat/>
    <w:uiPriority w:val="0"/>
    <w:pPr>
      <w:suppressAutoHyphens/>
    </w:pPr>
    <w:rPr>
      <w:sz w:val="24"/>
      <w:szCs w:val="24"/>
      <w:lang w:eastAsia="zh-CN"/>
    </w:rPr>
  </w:style>
  <w:style w:type="paragraph" w:customStyle="1" w:styleId="542">
    <w:name w:val="Rodapé1"/>
    <w:basedOn w:val="1"/>
    <w:qFormat/>
    <w:uiPriority w:val="0"/>
    <w:pPr>
      <w:tabs>
        <w:tab w:val="center" w:pos="4419"/>
        <w:tab w:val="right" w:pos="8838"/>
      </w:tabs>
    </w:pPr>
    <w:rPr>
      <w:sz w:val="24"/>
      <w:szCs w:val="24"/>
    </w:rPr>
  </w:style>
  <w:style w:type="character" w:customStyle="1" w:styleId="543">
    <w:name w:val="externaltitle"/>
    <w:basedOn w:val="11"/>
    <w:qFormat/>
    <w:uiPriority w:val="0"/>
  </w:style>
  <w:style w:type="paragraph" w:customStyle="1" w:styleId="544">
    <w:name w:val="item-2"/>
    <w:basedOn w:val="1"/>
    <w:qFormat/>
    <w:uiPriority w:val="0"/>
    <w:pPr>
      <w:suppressAutoHyphens/>
      <w:spacing w:after="240" w:line="300" w:lineRule="atLeast"/>
      <w:ind w:left="992" w:hanging="567"/>
      <w:jc w:val="both"/>
    </w:pPr>
    <w:rPr>
      <w:sz w:val="24"/>
      <w:szCs w:val="24"/>
      <w:lang w:eastAsia="zh-CN"/>
    </w:rPr>
  </w:style>
  <w:style w:type="paragraph" w:customStyle="1" w:styleId="545">
    <w:name w:val="Table Paragraph"/>
    <w:basedOn w:val="1"/>
    <w:qFormat/>
    <w:uiPriority w:val="1"/>
    <w:pPr>
      <w:widowControl w:val="0"/>
      <w:autoSpaceDE w:val="0"/>
      <w:autoSpaceDN w:val="0"/>
    </w:pPr>
    <w:rPr>
      <w:rFonts w:ascii="Arial" w:hAnsi="Arial" w:eastAsia="Arial" w:cs="Arial"/>
      <w:lang w:val="en-US" w:eastAsia="en-US"/>
    </w:rPr>
  </w:style>
  <w:style w:type="character" w:customStyle="1" w:styleId="546">
    <w:name w:val="Unresolved Mention"/>
    <w:basedOn w:val="11"/>
    <w:semiHidden/>
    <w:unhideWhenUsed/>
    <w:qFormat/>
    <w:uiPriority w:val="99"/>
    <w:rPr>
      <w:color w:val="605E5C"/>
      <w:shd w:val="clear" w:color="auto" w:fill="E1DFDD"/>
    </w:rPr>
  </w:style>
  <w:style w:type="character" w:customStyle="1" w:styleId="547">
    <w:name w:val="WW8Num2z3"/>
    <w:qFormat/>
    <w:uiPriority w:val="0"/>
  </w:style>
  <w:style w:type="character" w:customStyle="1" w:styleId="548">
    <w:name w:val="WW8Num2z4"/>
    <w:qFormat/>
    <w:uiPriority w:val="0"/>
  </w:style>
  <w:style w:type="character" w:customStyle="1" w:styleId="549">
    <w:name w:val="WW8Num2z5"/>
    <w:qFormat/>
    <w:uiPriority w:val="0"/>
  </w:style>
  <w:style w:type="character" w:customStyle="1" w:styleId="550">
    <w:name w:val="WW8Num2z6"/>
    <w:qFormat/>
    <w:uiPriority w:val="0"/>
  </w:style>
  <w:style w:type="character" w:customStyle="1" w:styleId="551">
    <w:name w:val="WW8Num2z7"/>
    <w:qFormat/>
    <w:uiPriority w:val="0"/>
  </w:style>
  <w:style w:type="character" w:customStyle="1" w:styleId="552">
    <w:name w:val="WW8Num2z8"/>
    <w:qFormat/>
    <w:uiPriority w:val="0"/>
  </w:style>
  <w:style w:type="character" w:customStyle="1" w:styleId="553">
    <w:name w:val="WW8Num6z1"/>
    <w:qFormat/>
    <w:uiPriority w:val="0"/>
  </w:style>
  <w:style w:type="character" w:customStyle="1" w:styleId="554">
    <w:name w:val="WW8Num6z2"/>
    <w:qFormat/>
    <w:uiPriority w:val="0"/>
  </w:style>
  <w:style w:type="character" w:customStyle="1" w:styleId="555">
    <w:name w:val="WW8Num6z3"/>
    <w:qFormat/>
    <w:uiPriority w:val="0"/>
  </w:style>
  <w:style w:type="character" w:customStyle="1" w:styleId="556">
    <w:name w:val="WW8Num6z4"/>
    <w:qFormat/>
    <w:uiPriority w:val="0"/>
  </w:style>
  <w:style w:type="character" w:customStyle="1" w:styleId="557">
    <w:name w:val="WW8Num6z5"/>
    <w:qFormat/>
    <w:uiPriority w:val="0"/>
  </w:style>
  <w:style w:type="character" w:customStyle="1" w:styleId="558">
    <w:name w:val="WW8Num6z6"/>
    <w:qFormat/>
    <w:uiPriority w:val="0"/>
  </w:style>
  <w:style w:type="character" w:customStyle="1" w:styleId="559">
    <w:name w:val="WW8Num6z7"/>
    <w:qFormat/>
    <w:uiPriority w:val="0"/>
  </w:style>
  <w:style w:type="character" w:customStyle="1" w:styleId="560">
    <w:name w:val="WW8Num6z8"/>
    <w:qFormat/>
    <w:uiPriority w:val="0"/>
  </w:style>
  <w:style w:type="character" w:customStyle="1" w:styleId="561">
    <w:name w:val="WW8Num9z2"/>
    <w:qFormat/>
    <w:uiPriority w:val="0"/>
    <w:rPr>
      <w:rFonts w:hint="default" w:ascii="Wingdings" w:hAnsi="Wingdings" w:cs="Wingdings"/>
    </w:rPr>
  </w:style>
  <w:style w:type="paragraph" w:customStyle="1" w:styleId="562">
    <w:name w:val="Standard"/>
    <w:qFormat/>
    <w:uiPriority w:val="0"/>
    <w:pPr>
      <w:suppressAutoHyphens/>
      <w:textAlignment w:val="baseline"/>
    </w:pPr>
    <w:rPr>
      <w:rFonts w:ascii="Liberation Serif" w:hAnsi="Liberation Serif" w:eastAsia="SimSun" w:cs="Arial"/>
      <w:kern w:val="1"/>
      <w:sz w:val="24"/>
      <w:szCs w:val="24"/>
      <w:lang w:val="pt-BR" w:eastAsia="zh-CN" w:bidi="hi-IN"/>
    </w:rPr>
  </w:style>
  <w:style w:type="paragraph" w:customStyle="1" w:styleId="563">
    <w:name w:val="Table Contents"/>
    <w:basedOn w:val="562"/>
    <w:qFormat/>
    <w:uiPriority w:val="0"/>
    <w:pPr>
      <w:suppressLineNumbers/>
    </w:pPr>
  </w:style>
  <w:style w:type="table" w:customStyle="1" w:styleId="564">
    <w:name w:val="Table Normal1"/>
    <w:semiHidden/>
    <w:qFormat/>
    <w:uiPriority w:val="2"/>
    <w:pPr>
      <w:widowControl w:val="0"/>
      <w:autoSpaceDE w:val="0"/>
      <w:autoSpaceDN w:val="0"/>
    </w:pPr>
    <w:rPr>
      <w:rFonts w:ascii="Calibri" w:hAnsi="Calibri" w:eastAsia="Calibri" w:cs="Calibri"/>
      <w:lang w:val="en-US" w:eastAsia="en-US"/>
    </w:rPr>
    <w:tblPr>
      <w:tblCellMar>
        <w:top w:w="0" w:type="dxa"/>
        <w:left w:w="0" w:type="dxa"/>
        <w:bottom w:w="0" w:type="dxa"/>
        <w:right w:w="0" w:type="dxa"/>
      </w:tblCellMar>
    </w:tblPr>
  </w:style>
  <w:style w:type="paragraph" w:customStyle="1" w:styleId="565">
    <w:name w:val="Estilo CPL - Item + 8 pt Não Negrito Sem sublinhado"/>
    <w:basedOn w:val="1"/>
    <w:qFormat/>
    <w:uiPriority w:val="0"/>
    <w:pPr>
      <w:spacing w:line="276" w:lineRule="auto"/>
      <w:jc w:val="both"/>
    </w:pPr>
    <w:rPr>
      <w:rFonts w:ascii="Arial Narrow" w:hAnsi="Arial Narrow"/>
      <w:sz w:val="24"/>
      <w:szCs w:val="24"/>
    </w:rPr>
  </w:style>
  <w:style w:type="paragraph" w:customStyle="1" w:styleId="566">
    <w:name w:val="Nivel 01"/>
    <w:basedOn w:val="2"/>
    <w:next w:val="1"/>
    <w:qFormat/>
    <w:uiPriority w:val="0"/>
    <w:pPr>
      <w:keepLines/>
      <w:numPr>
        <w:ilvl w:val="0"/>
        <w:numId w:val="4"/>
      </w:numPr>
      <w:tabs>
        <w:tab w:val="left" w:pos="567"/>
      </w:tabs>
      <w:spacing w:before="240"/>
      <w:ind w:left="480" w:hanging="480"/>
      <w:jc w:val="both"/>
    </w:pPr>
    <w:rPr>
      <w:rFonts w:ascii="Ecofont_Spranq_eco_Sans" w:hAnsi="Ecofont_Spranq_eco_Sans"/>
      <w:bCs/>
      <w:i w:val="0"/>
      <w:color w:val="000000"/>
      <w:sz w:val="20"/>
      <w:szCs w:val="20"/>
    </w:rPr>
  </w:style>
  <w:style w:type="character" w:customStyle="1" w:styleId="567">
    <w:name w:val="advertenciavermelho"/>
    <w:basedOn w:val="11"/>
    <w:qFormat/>
    <w:uiPriority w:val="0"/>
  </w:style>
  <w:style w:type="character" w:customStyle="1" w:styleId="568">
    <w:name w:val="fontstyle01"/>
    <w:basedOn w:val="11"/>
    <w:qFormat/>
    <w:uiPriority w:val="0"/>
    <w:rPr>
      <w:rFonts w:ascii="Arial-BoldMT" w:hAnsi="Arial-BoldMT"/>
      <w:b/>
      <w:bCs/>
      <w:color w:val="000000"/>
      <w:sz w:val="24"/>
      <w:szCs w:val="24"/>
    </w:rPr>
  </w:style>
  <w:style w:type="character" w:customStyle="1" w:styleId="569">
    <w:name w:val="WW8Num11z1"/>
    <w:qFormat/>
    <w:uiPriority w:val="0"/>
    <w:rPr>
      <w:rFonts w:ascii="OpenSymbol" w:hAnsi="OpenSymbol" w:cs="OpenSymbol"/>
    </w:rPr>
  </w:style>
  <w:style w:type="character" w:customStyle="1" w:styleId="570">
    <w:name w:val="WW8Num17z1"/>
    <w:qFormat/>
    <w:uiPriority w:val="0"/>
    <w:rPr>
      <w:rFonts w:ascii="OpenSymbol" w:hAnsi="OpenSymbol" w:cs="OpenSymbol"/>
    </w:rPr>
  </w:style>
  <w:style w:type="character" w:customStyle="1" w:styleId="571">
    <w:name w:val="Fonte parág. padrão5"/>
    <w:qFormat/>
    <w:uiPriority w:val="0"/>
  </w:style>
  <w:style w:type="character" w:customStyle="1" w:styleId="572">
    <w:name w:val="WW8Num21z3"/>
    <w:qFormat/>
    <w:uiPriority w:val="0"/>
  </w:style>
  <w:style w:type="character" w:customStyle="1" w:styleId="573">
    <w:name w:val="WW8Num21z4"/>
    <w:qFormat/>
    <w:uiPriority w:val="0"/>
  </w:style>
  <w:style w:type="character" w:customStyle="1" w:styleId="574">
    <w:name w:val="WW8Num21z5"/>
    <w:qFormat/>
    <w:uiPriority w:val="0"/>
  </w:style>
  <w:style w:type="character" w:customStyle="1" w:styleId="575">
    <w:name w:val="WW8Num21z6"/>
    <w:qFormat/>
    <w:uiPriority w:val="0"/>
  </w:style>
  <w:style w:type="character" w:customStyle="1" w:styleId="576">
    <w:name w:val="WW8Num21z7"/>
    <w:qFormat/>
    <w:uiPriority w:val="0"/>
  </w:style>
  <w:style w:type="character" w:customStyle="1" w:styleId="577">
    <w:name w:val="WW8Num21z8"/>
    <w:qFormat/>
    <w:uiPriority w:val="0"/>
  </w:style>
  <w:style w:type="character" w:customStyle="1" w:styleId="578">
    <w:name w:val="Fonte parág. padrão4"/>
    <w:qFormat/>
    <w:uiPriority w:val="0"/>
  </w:style>
  <w:style w:type="character" w:customStyle="1" w:styleId="579">
    <w:name w:val="Fonte parág. padrão3"/>
    <w:qFormat/>
    <w:uiPriority w:val="0"/>
  </w:style>
  <w:style w:type="character" w:customStyle="1" w:styleId="580">
    <w:name w:val="Marcas"/>
    <w:qFormat/>
    <w:uiPriority w:val="0"/>
    <w:rPr>
      <w:rFonts w:ascii="OpenSymbol" w:hAnsi="OpenSymbol" w:eastAsia="OpenSymbol" w:cs="OpenSymbol"/>
    </w:rPr>
  </w:style>
  <w:style w:type="character" w:customStyle="1" w:styleId="581">
    <w:name w:val="ListLabel 2"/>
    <w:qFormat/>
    <w:uiPriority w:val="0"/>
    <w:rPr>
      <w:b/>
      <w:sz w:val="20"/>
      <w:szCs w:val="20"/>
    </w:rPr>
  </w:style>
  <w:style w:type="character" w:customStyle="1" w:styleId="582">
    <w:name w:val="Fonte parág. padrão6"/>
    <w:qFormat/>
    <w:uiPriority w:val="0"/>
  </w:style>
  <w:style w:type="character" w:customStyle="1" w:styleId="583">
    <w:name w:val="Forte1"/>
    <w:qFormat/>
    <w:uiPriority w:val="0"/>
    <w:rPr>
      <w:b/>
      <w:bCs/>
    </w:rPr>
  </w:style>
  <w:style w:type="paragraph" w:customStyle="1" w:styleId="584">
    <w:name w:val="Título4"/>
    <w:basedOn w:val="1"/>
    <w:next w:val="22"/>
    <w:qFormat/>
    <w:uiPriority w:val="0"/>
    <w:pPr>
      <w:keepNext/>
      <w:suppressAutoHyphens/>
      <w:spacing w:before="240" w:after="120"/>
    </w:pPr>
    <w:rPr>
      <w:rFonts w:ascii="Liberation Sans" w:hAnsi="Liberation Sans" w:eastAsia="Microsoft YaHei" w:cs="Lucida Sans"/>
      <w:sz w:val="28"/>
      <w:szCs w:val="28"/>
      <w:lang w:eastAsia="zh-CN"/>
    </w:rPr>
  </w:style>
  <w:style w:type="paragraph" w:customStyle="1" w:styleId="585">
    <w:name w:val="Título3"/>
    <w:basedOn w:val="1"/>
    <w:next w:val="22"/>
    <w:qFormat/>
    <w:uiPriority w:val="0"/>
    <w:pPr>
      <w:keepNext/>
      <w:suppressAutoHyphens/>
      <w:spacing w:before="240" w:after="120"/>
    </w:pPr>
    <w:rPr>
      <w:rFonts w:ascii="Liberation Sans" w:hAnsi="Liberation Sans" w:eastAsia="Microsoft YaHei" w:cs="Lucida Sans"/>
      <w:sz w:val="28"/>
      <w:szCs w:val="28"/>
      <w:lang w:eastAsia="zh-CN"/>
    </w:rPr>
  </w:style>
  <w:style w:type="paragraph" w:customStyle="1" w:styleId="586">
    <w:name w:val="Cabeçalho e Rodapé"/>
    <w:basedOn w:val="1"/>
    <w:qFormat/>
    <w:uiPriority w:val="0"/>
    <w:pPr>
      <w:suppressLineNumbers/>
      <w:tabs>
        <w:tab w:val="center" w:pos="4819"/>
        <w:tab w:val="right" w:pos="9638"/>
      </w:tabs>
      <w:suppressAutoHyphens/>
    </w:pPr>
    <w:rPr>
      <w:sz w:val="24"/>
      <w:szCs w:val="24"/>
      <w:lang w:eastAsia="zh-CN"/>
    </w:rPr>
  </w:style>
  <w:style w:type="paragraph" w:customStyle="1" w:styleId="587">
    <w:name w:val="Com marcadores 41"/>
    <w:basedOn w:val="1"/>
    <w:qFormat/>
    <w:uiPriority w:val="0"/>
    <w:pPr>
      <w:suppressAutoHyphens/>
      <w:ind w:left="1440" w:hanging="360"/>
    </w:pPr>
    <w:rPr>
      <w:rFonts w:ascii="Arial" w:hAnsi="Arial" w:cs="Arial"/>
      <w:sz w:val="24"/>
      <w:szCs w:val="20"/>
      <w:lang w:eastAsia="zh-CN"/>
    </w:rPr>
  </w:style>
  <w:style w:type="paragraph" w:customStyle="1" w:styleId="588">
    <w:name w:val="Com marcadores 21"/>
    <w:basedOn w:val="1"/>
    <w:qFormat/>
    <w:uiPriority w:val="0"/>
    <w:pPr>
      <w:suppressAutoHyphens/>
      <w:ind w:left="720" w:hanging="360"/>
    </w:pPr>
    <w:rPr>
      <w:rFonts w:ascii="Arial" w:hAnsi="Arial" w:cs="Arial"/>
      <w:sz w:val="24"/>
      <w:szCs w:val="20"/>
      <w:lang w:eastAsia="zh-CN"/>
    </w:rPr>
  </w:style>
  <w:style w:type="paragraph" w:customStyle="1" w:styleId="589">
    <w:name w:val="Com marcadores 31"/>
    <w:basedOn w:val="1"/>
    <w:qFormat/>
    <w:uiPriority w:val="0"/>
    <w:pPr>
      <w:suppressAutoHyphens/>
      <w:ind w:left="1080" w:hanging="360"/>
    </w:pPr>
    <w:rPr>
      <w:rFonts w:ascii="Arial" w:hAnsi="Arial" w:cs="Arial"/>
      <w:sz w:val="24"/>
      <w:szCs w:val="20"/>
      <w:lang w:eastAsia="zh-CN"/>
    </w:rPr>
  </w:style>
  <w:style w:type="paragraph" w:customStyle="1" w:styleId="590">
    <w:name w:val="texto_justificado"/>
    <w:basedOn w:val="1"/>
    <w:qFormat/>
    <w:uiPriority w:val="0"/>
    <w:pPr>
      <w:suppressAutoHyphens/>
      <w:spacing w:before="280" w:after="280"/>
    </w:pPr>
    <w:rPr>
      <w:sz w:val="24"/>
      <w:szCs w:val="24"/>
      <w:lang w:eastAsia="zh-CN"/>
    </w:rPr>
  </w:style>
  <w:style w:type="paragraph" w:customStyle="1" w:styleId="591">
    <w:name w:val="Corpo de texto 34"/>
    <w:basedOn w:val="1"/>
    <w:qFormat/>
    <w:uiPriority w:val="0"/>
    <w:pPr>
      <w:suppressAutoHyphens/>
      <w:spacing w:after="120"/>
      <w:jc w:val="center"/>
    </w:pPr>
    <w:rPr>
      <w:b/>
      <w:sz w:val="18"/>
      <w:szCs w:val="24"/>
      <w:lang w:eastAsia="zh-CN"/>
    </w:rPr>
  </w:style>
  <w:style w:type="paragraph" w:customStyle="1" w:styleId="592">
    <w:name w:val="Parágrafo da Lista3"/>
    <w:basedOn w:val="1"/>
    <w:qFormat/>
    <w:uiPriority w:val="0"/>
    <w:pPr>
      <w:suppressAutoHyphens/>
      <w:ind w:left="720"/>
      <w:contextualSpacing/>
    </w:pPr>
    <w:rPr>
      <w:sz w:val="24"/>
      <w:szCs w:val="24"/>
      <w:lang w:eastAsia="zh-CN"/>
    </w:rPr>
  </w:style>
  <w:style w:type="paragraph" w:customStyle="1" w:styleId="593">
    <w:name w:val="DocumentMap"/>
    <w:qFormat/>
    <w:uiPriority w:val="0"/>
    <w:pPr>
      <w:suppressAutoHyphens/>
      <w:spacing w:after="200" w:line="276" w:lineRule="auto"/>
    </w:pPr>
    <w:rPr>
      <w:rFonts w:ascii="Calibri" w:hAnsi="Calibri" w:eastAsia="Cambria Math" w:cs="Times New Roman"/>
      <w:sz w:val="22"/>
      <w:szCs w:val="22"/>
      <w:lang w:val="pt-BR" w:eastAsia="en-US" w:bidi="ar-SA"/>
    </w:rPr>
  </w:style>
  <w:style w:type="paragraph" w:customStyle="1" w:styleId="594">
    <w:name w:val="Título da lista"/>
    <w:basedOn w:val="1"/>
    <w:next w:val="595"/>
    <w:qFormat/>
    <w:uiPriority w:val="0"/>
  </w:style>
  <w:style w:type="paragraph" w:customStyle="1" w:styleId="595">
    <w:name w:val="Conteúdo da lista"/>
    <w:basedOn w:val="1"/>
    <w:qFormat/>
    <w:uiPriority w:val="0"/>
    <w:pPr>
      <w:ind w:left="567"/>
    </w:pPr>
  </w:style>
  <w:style w:type="paragraph" w:customStyle="1" w:styleId="596">
    <w:name w:val="21"/>
    <w:basedOn w:val="1"/>
    <w:qFormat/>
    <w:uiPriority w:val="0"/>
    <w:pPr>
      <w:spacing w:before="100" w:beforeAutospacing="1" w:after="100" w:afterAutospacing="1"/>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5.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3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5A4D19-9D42-44BD-9AA3-7DA72385E366}">
  <ds:schemaRefs/>
</ds:datastoreItem>
</file>

<file path=docProps/app.xml><?xml version="1.0" encoding="utf-8"?>
<Properties xmlns="http://schemas.openxmlformats.org/officeDocument/2006/extended-properties" xmlns:vt="http://schemas.openxmlformats.org/officeDocument/2006/docPropsVTypes">
  <Template>Normal</Template>
  <Company>*****</Company>
  <Pages>64</Pages>
  <Words>27445</Words>
  <Characters>159491</Characters>
  <Lines>1329</Lines>
  <Paragraphs>373</Paragraphs>
  <TotalTime>44</TotalTime>
  <ScaleCrop>false</ScaleCrop>
  <LinksUpToDate>false</LinksUpToDate>
  <CharactersWithSpaces>186563</CharactersWithSpaces>
  <Application>WPS Office_11.2.0.10382_F1E327BC-269C-435d-A152-05C5408002CA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2019-03-12T14:47:00Z</dcterms:created>
  <dc:creator>Usuário</dc:creator>
  <cp:lastModifiedBy>maurilio.nascimento</cp:lastModifiedBy>
  <cp:lastPrinted>2021-12-09T14:40:55Z</cp:lastPrinted>
  <dcterms:modified xsi:type="dcterms:W3CDTF">2021-12-09T14:45:41Z</dcterms:modified>
  <dc:title>AVISO DE LICITAÇÃO</dc:title>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1046-11.2.0.10382</vt:lpwstr>
  </property>
  <property fmtid="{D5CDD505-2E9C-101B-9397-08002B2CF9AE}" pid="3" name="ICV">
    <vt:lpwstr>A424217ED3F94FFCB674B1C0962FB9AA</vt:lpwstr>
  </property>
</Properties>
</file>